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72753B" w:rsidRDefault="00CC0D37" w:rsidP="0072753B">
      <w:pPr>
        <w:jc w:val="left"/>
      </w:pPr>
      <w:bookmarkStart w:id="0" w:name="_Hlk131676186"/>
      <w:bookmarkEnd w:id="0"/>
      <w:r w:rsidRPr="0072753B">
        <w:drawing>
          <wp:inline distT="0" distB="0" distL="0" distR="0" wp14:anchorId="4A099747" wp14:editId="5E97B195">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60C44430" w:rsidR="00423C57" w:rsidRPr="0072753B" w:rsidRDefault="00D34250" w:rsidP="0072753B">
      <w:pPr>
        <w:pStyle w:val="Title"/>
        <w:spacing w:line="276" w:lineRule="auto"/>
        <w:rPr>
          <w:rFonts w:cstheme="majorHAnsi"/>
          <w:szCs w:val="56"/>
        </w:rPr>
      </w:pPr>
      <w:r w:rsidRPr="0072753B">
        <w:rPr>
          <w:rFonts w:cstheme="majorHAnsi"/>
          <w:szCs w:val="56"/>
        </w:rPr>
        <w:t>Regional Investments</w:t>
      </w:r>
      <w:r w:rsidR="00B53242" w:rsidRPr="0072753B">
        <w:rPr>
          <w:rFonts w:cstheme="majorHAnsi"/>
          <w:szCs w:val="56"/>
        </w:rPr>
        <w:t xml:space="preserve"> </w:t>
      </w:r>
      <w:r w:rsidR="0018387A" w:rsidRPr="0072753B">
        <w:rPr>
          <w:rFonts w:cstheme="majorHAnsi"/>
          <w:szCs w:val="56"/>
        </w:rPr>
        <w:t>Brief</w:t>
      </w:r>
    </w:p>
    <w:p w14:paraId="045F1C09" w14:textId="58911BBB" w:rsidR="005D435B" w:rsidRPr="0072753B" w:rsidRDefault="5D4CF323" w:rsidP="0072753B">
      <w:pPr>
        <w:pStyle w:val="Subtitle"/>
        <w:spacing w:line="276" w:lineRule="auto"/>
        <w:rPr>
          <w:sz w:val="56"/>
          <w:szCs w:val="56"/>
        </w:rPr>
      </w:pPr>
      <w:r w:rsidRPr="0072753B">
        <w:rPr>
          <w:sz w:val="56"/>
          <w:szCs w:val="56"/>
        </w:rPr>
        <w:t xml:space="preserve">August </w:t>
      </w:r>
      <w:r w:rsidR="645649D1" w:rsidRPr="0072753B">
        <w:rPr>
          <w:sz w:val="56"/>
          <w:szCs w:val="56"/>
        </w:rPr>
        <w:t>202</w:t>
      </w:r>
      <w:r w:rsidR="39665D85" w:rsidRPr="0072753B">
        <w:rPr>
          <w:sz w:val="56"/>
          <w:szCs w:val="56"/>
        </w:rPr>
        <w:t>5</w:t>
      </w:r>
    </w:p>
    <w:p w14:paraId="03CCE1EB" w14:textId="77777777" w:rsidR="00436FD7" w:rsidRPr="0072753B" w:rsidRDefault="00436FD7" w:rsidP="0072753B">
      <w:pPr>
        <w:spacing w:line="276" w:lineRule="auto"/>
        <w:jc w:val="left"/>
        <w:rPr>
          <w:rFonts w:asciiTheme="majorHAnsi" w:hAnsiTheme="majorHAnsi" w:cstheme="majorHAnsi"/>
          <w:sz w:val="20"/>
          <w:szCs w:val="20"/>
        </w:rPr>
      </w:pPr>
    </w:p>
    <w:p w14:paraId="16840F9F" w14:textId="77777777" w:rsidR="00436FD7" w:rsidRPr="0072753B" w:rsidRDefault="00436FD7" w:rsidP="0072753B">
      <w:pPr>
        <w:spacing w:line="276" w:lineRule="auto"/>
        <w:jc w:val="left"/>
        <w:rPr>
          <w:rFonts w:asciiTheme="majorHAnsi" w:hAnsiTheme="majorHAnsi" w:cstheme="majorHAnsi"/>
          <w:sz w:val="20"/>
          <w:szCs w:val="20"/>
        </w:rPr>
      </w:pPr>
    </w:p>
    <w:p w14:paraId="62DB4D54" w14:textId="77777777" w:rsidR="00B53242" w:rsidRPr="0072753B" w:rsidRDefault="00B53242" w:rsidP="0072753B">
      <w:pPr>
        <w:spacing w:line="276" w:lineRule="auto"/>
        <w:jc w:val="left"/>
        <w:rPr>
          <w:rFonts w:asciiTheme="majorHAnsi" w:hAnsiTheme="majorHAnsi" w:cstheme="majorHAnsi"/>
          <w:sz w:val="20"/>
          <w:szCs w:val="20"/>
        </w:rPr>
        <w:sectPr w:rsidR="00B53242" w:rsidRPr="0072753B"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72753B" w:rsidRDefault="00436FD7" w:rsidP="0072753B">
      <w:pPr>
        <w:spacing w:line="276" w:lineRule="auto"/>
        <w:jc w:val="left"/>
        <w:rPr>
          <w:rFonts w:asciiTheme="majorHAnsi" w:hAnsiTheme="majorHAnsi" w:cstheme="majorHAnsi"/>
          <w:sz w:val="20"/>
          <w:szCs w:val="20"/>
        </w:rPr>
      </w:pPr>
    </w:p>
    <w:sdt>
      <w:sdtPr>
        <w:rPr>
          <w:rFonts w:ascii="Arial" w:eastAsiaTheme="minorEastAsia" w:hAnsi="Arial" w:cstheme="minorBidi"/>
          <w:color w:val="000000" w:themeColor="text1"/>
          <w:sz w:val="20"/>
          <w:szCs w:val="20"/>
        </w:rPr>
        <w:id w:val="1995074999"/>
        <w:docPartObj>
          <w:docPartGallery w:val="Table of Contents"/>
          <w:docPartUnique/>
        </w:docPartObj>
      </w:sdtPr>
      <w:sdtEndPr/>
      <w:sdtContent>
        <w:p w14:paraId="40E3DBB2" w14:textId="7898E06C" w:rsidR="00436FD7" w:rsidRPr="0072753B" w:rsidRDefault="00436FD7" w:rsidP="0072753B">
          <w:pPr>
            <w:pStyle w:val="TOCHeading"/>
            <w:jc w:val="left"/>
            <w:rPr>
              <w:sz w:val="20"/>
              <w:szCs w:val="20"/>
            </w:rPr>
          </w:pPr>
          <w:r w:rsidRPr="0072753B">
            <w:rPr>
              <w:b/>
              <w:bCs/>
            </w:rPr>
            <w:t>Contents</w:t>
          </w:r>
          <w:r w:rsidR="00FF04A0" w:rsidRPr="0072753B">
            <w:tab/>
          </w:r>
        </w:p>
        <w:p w14:paraId="32FA1D7A" w14:textId="6080F431" w:rsidR="004969F6" w:rsidRPr="0072753B" w:rsidRDefault="000D0073" w:rsidP="0072753B">
          <w:pPr>
            <w:pStyle w:val="TOC1"/>
            <w:rPr>
              <w:rFonts w:asciiTheme="minorHAnsi" w:eastAsiaTheme="minorEastAsia" w:hAnsiTheme="minorHAnsi"/>
              <w:b w:val="0"/>
              <w:noProof w:val="0"/>
              <w:color w:val="auto"/>
              <w:kern w:val="2"/>
              <w:sz w:val="24"/>
              <w:szCs w:val="24"/>
              <w14:ligatures w14:val="standardContextual"/>
            </w:rPr>
          </w:pPr>
          <w:r w:rsidRPr="0072753B">
            <w:rPr>
              <w:noProof w:val="0"/>
            </w:rPr>
            <w:fldChar w:fldCharType="begin"/>
          </w:r>
          <w:r w:rsidR="6414A1A2" w:rsidRPr="0072753B">
            <w:rPr>
              <w:noProof w:val="0"/>
            </w:rPr>
            <w:instrText>TOC \o "1-3" \z \u \h</w:instrText>
          </w:r>
          <w:r w:rsidRPr="0072753B">
            <w:rPr>
              <w:noProof w:val="0"/>
            </w:rPr>
            <w:fldChar w:fldCharType="separate"/>
          </w:r>
          <w:hyperlink w:anchor="_Toc208777781" w:history="1">
            <w:r w:rsidR="004969F6" w:rsidRPr="0072753B">
              <w:rPr>
                <w:rStyle w:val="Hyperlink"/>
                <w:rFonts w:asciiTheme="majorHAnsi" w:hAnsiTheme="majorHAnsi"/>
                <w:noProof w:val="0"/>
              </w:rPr>
              <w:t>1</w:t>
            </w:r>
            <w:r w:rsidR="004969F6" w:rsidRPr="0072753B">
              <w:rPr>
                <w:rFonts w:asciiTheme="minorHAnsi" w:eastAsiaTheme="minorEastAsia" w:hAnsiTheme="minorHAnsi"/>
                <w:b w:val="0"/>
                <w:noProof w:val="0"/>
                <w:color w:val="auto"/>
                <w:kern w:val="2"/>
                <w:sz w:val="24"/>
                <w:szCs w:val="24"/>
                <w14:ligatures w14:val="standardContextual"/>
              </w:rPr>
              <w:tab/>
            </w:r>
            <w:r w:rsidR="004969F6" w:rsidRPr="0072753B">
              <w:rPr>
                <w:rStyle w:val="Hyperlink"/>
                <w:rFonts w:asciiTheme="majorHAnsi" w:hAnsiTheme="majorHAnsi"/>
                <w:noProof w:val="0"/>
              </w:rPr>
              <w:t>About Pacific Women Lead</w:t>
            </w:r>
            <w:r w:rsidR="004969F6" w:rsidRPr="0072753B">
              <w:rPr>
                <w:noProof w:val="0"/>
                <w:webHidden/>
              </w:rPr>
              <w:tab/>
            </w:r>
            <w:r w:rsidR="004969F6" w:rsidRPr="0072753B">
              <w:rPr>
                <w:noProof w:val="0"/>
                <w:webHidden/>
              </w:rPr>
              <w:fldChar w:fldCharType="begin"/>
            </w:r>
            <w:r w:rsidR="004969F6" w:rsidRPr="0072753B">
              <w:rPr>
                <w:noProof w:val="0"/>
                <w:webHidden/>
              </w:rPr>
              <w:instrText xml:space="preserve"> PAGEREF _Toc208777781 \h </w:instrText>
            </w:r>
            <w:r w:rsidR="004969F6" w:rsidRPr="0072753B">
              <w:rPr>
                <w:noProof w:val="0"/>
                <w:webHidden/>
              </w:rPr>
            </w:r>
            <w:r w:rsidR="004969F6" w:rsidRPr="0072753B">
              <w:rPr>
                <w:noProof w:val="0"/>
                <w:webHidden/>
              </w:rPr>
              <w:fldChar w:fldCharType="separate"/>
            </w:r>
            <w:r w:rsidR="004969F6" w:rsidRPr="0072753B">
              <w:rPr>
                <w:noProof w:val="0"/>
                <w:webHidden/>
              </w:rPr>
              <w:t>1</w:t>
            </w:r>
            <w:r w:rsidR="004969F6" w:rsidRPr="0072753B">
              <w:rPr>
                <w:noProof w:val="0"/>
                <w:webHidden/>
              </w:rPr>
              <w:fldChar w:fldCharType="end"/>
            </w:r>
          </w:hyperlink>
        </w:p>
        <w:p w14:paraId="4049937B" w14:textId="016BEDBA" w:rsidR="004969F6" w:rsidRPr="0072753B" w:rsidRDefault="004969F6" w:rsidP="0072753B">
          <w:pPr>
            <w:pStyle w:val="TOC1"/>
            <w:rPr>
              <w:rFonts w:asciiTheme="minorHAnsi" w:eastAsiaTheme="minorEastAsia" w:hAnsiTheme="minorHAnsi"/>
              <w:b w:val="0"/>
              <w:noProof w:val="0"/>
              <w:color w:val="auto"/>
              <w:kern w:val="2"/>
              <w:sz w:val="24"/>
              <w:szCs w:val="24"/>
              <w14:ligatures w14:val="standardContextual"/>
            </w:rPr>
          </w:pPr>
          <w:hyperlink w:anchor="_Toc208777782" w:history="1">
            <w:r w:rsidRPr="0072753B">
              <w:rPr>
                <w:rStyle w:val="Hyperlink"/>
                <w:rFonts w:asciiTheme="majorHAnsi" w:hAnsiTheme="majorHAnsi"/>
                <w:noProof w:val="0"/>
              </w:rPr>
              <w:t>2</w:t>
            </w:r>
            <w:r w:rsidRPr="0072753B">
              <w:rPr>
                <w:rFonts w:asciiTheme="minorHAnsi" w:eastAsiaTheme="minorEastAsia" w:hAnsiTheme="minorHAnsi"/>
                <w:b w:val="0"/>
                <w:noProof w:val="0"/>
                <w:color w:val="auto"/>
                <w:kern w:val="2"/>
                <w:sz w:val="24"/>
                <w:szCs w:val="24"/>
                <w14:ligatures w14:val="standardContextual"/>
              </w:rPr>
              <w:tab/>
            </w:r>
            <w:r w:rsidRPr="0072753B">
              <w:rPr>
                <w:rStyle w:val="Hyperlink"/>
                <w:rFonts w:asciiTheme="majorHAnsi" w:hAnsiTheme="majorHAnsi"/>
                <w:noProof w:val="0"/>
              </w:rPr>
              <w:t>Overview of Regional Pacific Women Lead Activities</w:t>
            </w:r>
            <w:r w:rsidRPr="0072753B">
              <w:rPr>
                <w:noProof w:val="0"/>
                <w:webHidden/>
              </w:rPr>
              <w:tab/>
            </w:r>
            <w:r w:rsidRPr="0072753B">
              <w:rPr>
                <w:noProof w:val="0"/>
                <w:webHidden/>
              </w:rPr>
              <w:fldChar w:fldCharType="begin"/>
            </w:r>
            <w:r w:rsidRPr="0072753B">
              <w:rPr>
                <w:noProof w:val="0"/>
                <w:webHidden/>
              </w:rPr>
              <w:instrText xml:space="preserve"> PAGEREF _Toc208777782 \h </w:instrText>
            </w:r>
            <w:r w:rsidRPr="0072753B">
              <w:rPr>
                <w:noProof w:val="0"/>
                <w:webHidden/>
              </w:rPr>
            </w:r>
            <w:r w:rsidRPr="0072753B">
              <w:rPr>
                <w:noProof w:val="0"/>
                <w:webHidden/>
              </w:rPr>
              <w:fldChar w:fldCharType="separate"/>
            </w:r>
            <w:r w:rsidRPr="0072753B">
              <w:rPr>
                <w:noProof w:val="0"/>
                <w:webHidden/>
              </w:rPr>
              <w:t>1</w:t>
            </w:r>
            <w:r w:rsidRPr="0072753B">
              <w:rPr>
                <w:noProof w:val="0"/>
                <w:webHidden/>
              </w:rPr>
              <w:fldChar w:fldCharType="end"/>
            </w:r>
          </w:hyperlink>
        </w:p>
        <w:p w14:paraId="61ABBE6E" w14:textId="657A43EE"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83" w:history="1">
            <w:r w:rsidRPr="0072753B">
              <w:rPr>
                <w:rStyle w:val="Hyperlink"/>
                <w:rFonts w:asciiTheme="majorHAnsi" w:hAnsiTheme="majorHAnsi"/>
                <w:noProof w:val="0"/>
              </w:rPr>
              <w:t>2.1</w:t>
            </w:r>
            <w:r w:rsidRPr="0072753B">
              <w:rPr>
                <w:rFonts w:asciiTheme="minorHAnsi" w:eastAsiaTheme="minorEastAsia" w:hAnsiTheme="minorHAnsi"/>
                <w:noProof w:val="0"/>
                <w:color w:val="auto"/>
                <w:kern w:val="2"/>
                <w:sz w:val="24"/>
                <w:szCs w:val="24"/>
                <w14:ligatures w14:val="standardContextual"/>
              </w:rPr>
              <w:tab/>
            </w:r>
            <w:r w:rsidRPr="0072753B">
              <w:rPr>
                <w:rStyle w:val="Hyperlink"/>
                <w:rFonts w:asciiTheme="majorHAnsi" w:hAnsiTheme="majorHAnsi"/>
                <w:noProof w:val="0"/>
              </w:rPr>
              <w:t>The Pacific Community (SPC)</w:t>
            </w:r>
            <w:r w:rsidRPr="0072753B">
              <w:rPr>
                <w:noProof w:val="0"/>
                <w:webHidden/>
              </w:rPr>
              <w:tab/>
            </w:r>
            <w:r w:rsidRPr="0072753B">
              <w:rPr>
                <w:noProof w:val="0"/>
                <w:webHidden/>
              </w:rPr>
              <w:fldChar w:fldCharType="begin"/>
            </w:r>
            <w:r w:rsidRPr="0072753B">
              <w:rPr>
                <w:noProof w:val="0"/>
                <w:webHidden/>
              </w:rPr>
              <w:instrText xml:space="preserve"> PAGEREF _Toc208777783 \h </w:instrText>
            </w:r>
            <w:r w:rsidRPr="0072753B">
              <w:rPr>
                <w:noProof w:val="0"/>
                <w:webHidden/>
              </w:rPr>
            </w:r>
            <w:r w:rsidRPr="0072753B">
              <w:rPr>
                <w:noProof w:val="0"/>
                <w:webHidden/>
              </w:rPr>
              <w:fldChar w:fldCharType="separate"/>
            </w:r>
            <w:r w:rsidRPr="0072753B">
              <w:rPr>
                <w:noProof w:val="0"/>
                <w:webHidden/>
              </w:rPr>
              <w:t>2</w:t>
            </w:r>
            <w:r w:rsidRPr="0072753B">
              <w:rPr>
                <w:noProof w:val="0"/>
                <w:webHidden/>
              </w:rPr>
              <w:fldChar w:fldCharType="end"/>
            </w:r>
          </w:hyperlink>
        </w:p>
        <w:p w14:paraId="14B57F9E" w14:textId="0B4FF898"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84" w:history="1">
            <w:r w:rsidRPr="0072753B">
              <w:rPr>
                <w:rStyle w:val="Hyperlink"/>
                <w:rFonts w:asciiTheme="majorHAnsi" w:hAnsiTheme="majorHAnsi"/>
                <w:noProof w:val="0"/>
              </w:rPr>
              <w:t>2.2</w:t>
            </w:r>
            <w:r w:rsidRPr="0072753B">
              <w:rPr>
                <w:rFonts w:asciiTheme="minorHAnsi" w:eastAsiaTheme="minorEastAsia" w:hAnsiTheme="minorHAnsi"/>
                <w:noProof w:val="0"/>
                <w:color w:val="auto"/>
                <w:kern w:val="2"/>
                <w:sz w:val="24"/>
                <w:szCs w:val="24"/>
                <w14:ligatures w14:val="standardContextual"/>
              </w:rPr>
              <w:tab/>
            </w:r>
            <w:r w:rsidRPr="0072753B">
              <w:rPr>
                <w:rStyle w:val="Hyperlink"/>
                <w:rFonts w:asciiTheme="majorHAnsi" w:hAnsiTheme="majorHAnsi"/>
                <w:noProof w:val="0"/>
              </w:rPr>
              <w:t>Pacific Women Lead Governance Board</w:t>
            </w:r>
            <w:r w:rsidRPr="0072753B">
              <w:rPr>
                <w:noProof w:val="0"/>
                <w:webHidden/>
              </w:rPr>
              <w:tab/>
            </w:r>
            <w:r w:rsidRPr="0072753B">
              <w:rPr>
                <w:noProof w:val="0"/>
                <w:webHidden/>
              </w:rPr>
              <w:fldChar w:fldCharType="begin"/>
            </w:r>
            <w:r w:rsidRPr="0072753B">
              <w:rPr>
                <w:noProof w:val="0"/>
                <w:webHidden/>
              </w:rPr>
              <w:instrText xml:space="preserve"> PAGEREF _Toc208777784 \h </w:instrText>
            </w:r>
            <w:r w:rsidRPr="0072753B">
              <w:rPr>
                <w:noProof w:val="0"/>
                <w:webHidden/>
              </w:rPr>
            </w:r>
            <w:r w:rsidRPr="0072753B">
              <w:rPr>
                <w:noProof w:val="0"/>
                <w:webHidden/>
              </w:rPr>
              <w:fldChar w:fldCharType="separate"/>
            </w:r>
            <w:r w:rsidRPr="0072753B">
              <w:rPr>
                <w:noProof w:val="0"/>
                <w:webHidden/>
              </w:rPr>
              <w:t>18</w:t>
            </w:r>
            <w:r w:rsidRPr="0072753B">
              <w:rPr>
                <w:noProof w:val="0"/>
                <w:webHidden/>
              </w:rPr>
              <w:fldChar w:fldCharType="end"/>
            </w:r>
          </w:hyperlink>
        </w:p>
        <w:p w14:paraId="11ED9B54" w14:textId="596C6B8F"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85" w:history="1">
            <w:r w:rsidRPr="0072753B">
              <w:rPr>
                <w:rStyle w:val="Hyperlink"/>
                <w:rFonts w:asciiTheme="majorHAnsi" w:hAnsiTheme="majorHAnsi"/>
                <w:noProof w:val="0"/>
              </w:rPr>
              <w:t>2.3</w:t>
            </w:r>
            <w:r w:rsidRPr="0072753B">
              <w:rPr>
                <w:rFonts w:asciiTheme="minorHAnsi" w:eastAsiaTheme="minorEastAsia" w:hAnsiTheme="minorHAnsi"/>
                <w:noProof w:val="0"/>
                <w:color w:val="auto"/>
                <w:kern w:val="2"/>
                <w:sz w:val="24"/>
                <w:szCs w:val="24"/>
                <w14:ligatures w14:val="standardContextual"/>
              </w:rPr>
              <w:tab/>
            </w:r>
            <w:r w:rsidRPr="0072753B">
              <w:rPr>
                <w:rStyle w:val="Hyperlink"/>
                <w:rFonts w:asciiTheme="majorHAnsi" w:hAnsiTheme="majorHAnsi"/>
                <w:noProof w:val="0"/>
              </w:rPr>
              <w:t>Pacific Women’s Funds</w:t>
            </w:r>
            <w:r w:rsidRPr="0072753B">
              <w:rPr>
                <w:noProof w:val="0"/>
                <w:webHidden/>
              </w:rPr>
              <w:tab/>
            </w:r>
            <w:r w:rsidRPr="0072753B">
              <w:rPr>
                <w:noProof w:val="0"/>
                <w:webHidden/>
              </w:rPr>
              <w:fldChar w:fldCharType="begin"/>
            </w:r>
            <w:r w:rsidRPr="0072753B">
              <w:rPr>
                <w:noProof w:val="0"/>
                <w:webHidden/>
              </w:rPr>
              <w:instrText xml:space="preserve"> PAGEREF _Toc208777785 \h </w:instrText>
            </w:r>
            <w:r w:rsidRPr="0072753B">
              <w:rPr>
                <w:noProof w:val="0"/>
                <w:webHidden/>
              </w:rPr>
            </w:r>
            <w:r w:rsidRPr="0072753B">
              <w:rPr>
                <w:noProof w:val="0"/>
                <w:webHidden/>
              </w:rPr>
              <w:fldChar w:fldCharType="separate"/>
            </w:r>
            <w:r w:rsidRPr="0072753B">
              <w:rPr>
                <w:noProof w:val="0"/>
                <w:webHidden/>
              </w:rPr>
              <w:t>20</w:t>
            </w:r>
            <w:r w:rsidRPr="0072753B">
              <w:rPr>
                <w:noProof w:val="0"/>
                <w:webHidden/>
              </w:rPr>
              <w:fldChar w:fldCharType="end"/>
            </w:r>
          </w:hyperlink>
        </w:p>
        <w:p w14:paraId="636CB191" w14:textId="3AE3A10E" w:rsidR="004969F6" w:rsidRPr="0072753B" w:rsidRDefault="004969F6" w:rsidP="0072753B">
          <w:pPr>
            <w:pStyle w:val="TOC3"/>
            <w:rPr>
              <w:rFonts w:eastAsiaTheme="minorEastAsia" w:cstheme="minorBidi"/>
              <w:noProof w:val="0"/>
              <w:kern w:val="2"/>
              <w:sz w:val="24"/>
              <w:szCs w:val="24"/>
              <w:lang w:val="en-AU"/>
              <w14:ligatures w14:val="standardContextual"/>
            </w:rPr>
          </w:pPr>
          <w:hyperlink w:anchor="_Toc208777786" w:history="1">
            <w:r w:rsidRPr="0072753B">
              <w:rPr>
                <w:rStyle w:val="Hyperlink"/>
                <w:rFonts w:asciiTheme="majorHAnsi" w:hAnsiTheme="majorHAnsi"/>
                <w:noProof w:val="0"/>
                <w:lang w:val="en-AU"/>
              </w:rPr>
              <w:t>2.3.1</w:t>
            </w:r>
            <w:r w:rsidRPr="0072753B">
              <w:rPr>
                <w:rFonts w:eastAsiaTheme="minorEastAsia" w:cstheme="minorBidi"/>
                <w:noProof w:val="0"/>
                <w:kern w:val="2"/>
                <w:sz w:val="24"/>
                <w:szCs w:val="24"/>
                <w:lang w:val="en-AU"/>
                <w14:ligatures w14:val="standardContextual"/>
              </w:rPr>
              <w:tab/>
            </w:r>
            <w:r w:rsidRPr="0072753B">
              <w:rPr>
                <w:rStyle w:val="Hyperlink"/>
                <w:rFonts w:asciiTheme="majorHAnsi" w:hAnsiTheme="majorHAnsi"/>
                <w:noProof w:val="0"/>
                <w:lang w:val="en-AU"/>
              </w:rPr>
              <w:t>The Urgent Action Fund</w:t>
            </w:r>
            <w:r w:rsidRPr="0072753B">
              <w:rPr>
                <w:noProof w:val="0"/>
                <w:webHidden/>
                <w:lang w:val="en-AU"/>
              </w:rPr>
              <w:tab/>
            </w:r>
            <w:r w:rsidRPr="0072753B">
              <w:rPr>
                <w:noProof w:val="0"/>
                <w:webHidden/>
                <w:lang w:val="en-AU"/>
              </w:rPr>
              <w:fldChar w:fldCharType="begin"/>
            </w:r>
            <w:r w:rsidRPr="0072753B">
              <w:rPr>
                <w:noProof w:val="0"/>
                <w:webHidden/>
                <w:lang w:val="en-AU"/>
              </w:rPr>
              <w:instrText xml:space="preserve"> PAGEREF _Toc208777786 \h </w:instrText>
            </w:r>
            <w:r w:rsidRPr="0072753B">
              <w:rPr>
                <w:noProof w:val="0"/>
                <w:webHidden/>
                <w:lang w:val="en-AU"/>
              </w:rPr>
            </w:r>
            <w:r w:rsidRPr="0072753B">
              <w:rPr>
                <w:noProof w:val="0"/>
                <w:webHidden/>
                <w:lang w:val="en-AU"/>
              </w:rPr>
              <w:fldChar w:fldCharType="separate"/>
            </w:r>
            <w:r w:rsidRPr="0072753B">
              <w:rPr>
                <w:noProof w:val="0"/>
                <w:webHidden/>
                <w:lang w:val="en-AU"/>
              </w:rPr>
              <w:t>20</w:t>
            </w:r>
            <w:r w:rsidRPr="0072753B">
              <w:rPr>
                <w:noProof w:val="0"/>
                <w:webHidden/>
                <w:lang w:val="en-AU"/>
              </w:rPr>
              <w:fldChar w:fldCharType="end"/>
            </w:r>
          </w:hyperlink>
        </w:p>
        <w:p w14:paraId="5BE4EF86" w14:textId="62A09DB6" w:rsidR="004969F6" w:rsidRPr="0072753B" w:rsidRDefault="004969F6" w:rsidP="0072753B">
          <w:pPr>
            <w:pStyle w:val="TOC3"/>
            <w:rPr>
              <w:rFonts w:eastAsiaTheme="minorEastAsia" w:cstheme="minorBidi"/>
              <w:noProof w:val="0"/>
              <w:kern w:val="2"/>
              <w:sz w:val="24"/>
              <w:szCs w:val="24"/>
              <w:lang w:val="en-AU"/>
              <w14:ligatures w14:val="standardContextual"/>
            </w:rPr>
          </w:pPr>
          <w:hyperlink w:anchor="_Toc208777787" w:history="1">
            <w:r w:rsidRPr="0072753B">
              <w:rPr>
                <w:rStyle w:val="Hyperlink"/>
                <w:rFonts w:asciiTheme="majorHAnsi" w:hAnsiTheme="majorHAnsi"/>
                <w:noProof w:val="0"/>
                <w:lang w:val="en-AU"/>
              </w:rPr>
              <w:t>2.3.2</w:t>
            </w:r>
            <w:r w:rsidRPr="0072753B">
              <w:rPr>
                <w:rFonts w:eastAsiaTheme="minorEastAsia" w:cstheme="minorBidi"/>
                <w:noProof w:val="0"/>
                <w:kern w:val="2"/>
                <w:sz w:val="24"/>
                <w:szCs w:val="24"/>
                <w:lang w:val="en-AU"/>
                <w14:ligatures w14:val="standardContextual"/>
              </w:rPr>
              <w:tab/>
            </w:r>
            <w:r w:rsidRPr="0072753B">
              <w:rPr>
                <w:rStyle w:val="Hyperlink"/>
                <w:rFonts w:asciiTheme="majorHAnsi" w:hAnsiTheme="majorHAnsi"/>
                <w:noProof w:val="0"/>
                <w:lang w:val="en-AU"/>
              </w:rPr>
              <w:t>Pacific Feminist Fund</w:t>
            </w:r>
            <w:r w:rsidRPr="0072753B">
              <w:rPr>
                <w:noProof w:val="0"/>
                <w:webHidden/>
                <w:lang w:val="en-AU"/>
              </w:rPr>
              <w:tab/>
            </w:r>
            <w:r w:rsidRPr="0072753B">
              <w:rPr>
                <w:noProof w:val="0"/>
                <w:webHidden/>
                <w:lang w:val="en-AU"/>
              </w:rPr>
              <w:fldChar w:fldCharType="begin"/>
            </w:r>
            <w:r w:rsidRPr="0072753B">
              <w:rPr>
                <w:noProof w:val="0"/>
                <w:webHidden/>
                <w:lang w:val="en-AU"/>
              </w:rPr>
              <w:instrText xml:space="preserve"> PAGEREF _Toc208777787 \h </w:instrText>
            </w:r>
            <w:r w:rsidRPr="0072753B">
              <w:rPr>
                <w:noProof w:val="0"/>
                <w:webHidden/>
                <w:lang w:val="en-AU"/>
              </w:rPr>
            </w:r>
            <w:r w:rsidRPr="0072753B">
              <w:rPr>
                <w:noProof w:val="0"/>
                <w:webHidden/>
                <w:lang w:val="en-AU"/>
              </w:rPr>
              <w:fldChar w:fldCharType="separate"/>
            </w:r>
            <w:r w:rsidRPr="0072753B">
              <w:rPr>
                <w:noProof w:val="0"/>
                <w:webHidden/>
                <w:lang w:val="en-AU"/>
              </w:rPr>
              <w:t>23</w:t>
            </w:r>
            <w:r w:rsidRPr="0072753B">
              <w:rPr>
                <w:noProof w:val="0"/>
                <w:webHidden/>
                <w:lang w:val="en-AU"/>
              </w:rPr>
              <w:fldChar w:fldCharType="end"/>
            </w:r>
          </w:hyperlink>
        </w:p>
        <w:p w14:paraId="78C5DE70" w14:textId="25AAE306"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88" w:history="1">
            <w:r w:rsidRPr="0072753B">
              <w:rPr>
                <w:rStyle w:val="Hyperlink"/>
                <w:rFonts w:asciiTheme="majorHAnsi" w:hAnsiTheme="majorHAnsi"/>
                <w:noProof w:val="0"/>
              </w:rPr>
              <w:t>2.4</w:t>
            </w:r>
            <w:r w:rsidRPr="0072753B">
              <w:rPr>
                <w:rFonts w:asciiTheme="minorHAnsi" w:eastAsiaTheme="minorEastAsia" w:hAnsiTheme="minorHAnsi"/>
                <w:noProof w:val="0"/>
                <w:color w:val="auto"/>
                <w:kern w:val="2"/>
                <w:sz w:val="24"/>
                <w:szCs w:val="24"/>
                <w14:ligatures w14:val="standardContextual"/>
              </w:rPr>
              <w:tab/>
            </w:r>
            <w:r w:rsidRPr="0072753B">
              <w:rPr>
                <w:rStyle w:val="Hyperlink"/>
                <w:rFonts w:asciiTheme="majorHAnsi" w:hAnsiTheme="majorHAnsi"/>
                <w:noProof w:val="0"/>
              </w:rPr>
              <w:t>DFAT Regional Grants</w:t>
            </w:r>
            <w:r w:rsidRPr="0072753B">
              <w:rPr>
                <w:noProof w:val="0"/>
                <w:webHidden/>
              </w:rPr>
              <w:tab/>
            </w:r>
            <w:r w:rsidRPr="0072753B">
              <w:rPr>
                <w:noProof w:val="0"/>
                <w:webHidden/>
              </w:rPr>
              <w:fldChar w:fldCharType="begin"/>
            </w:r>
            <w:r w:rsidRPr="0072753B">
              <w:rPr>
                <w:noProof w:val="0"/>
                <w:webHidden/>
              </w:rPr>
              <w:instrText xml:space="preserve"> PAGEREF _Toc208777788 \h </w:instrText>
            </w:r>
            <w:r w:rsidRPr="0072753B">
              <w:rPr>
                <w:noProof w:val="0"/>
                <w:webHidden/>
              </w:rPr>
            </w:r>
            <w:r w:rsidRPr="0072753B">
              <w:rPr>
                <w:noProof w:val="0"/>
                <w:webHidden/>
              </w:rPr>
              <w:fldChar w:fldCharType="separate"/>
            </w:r>
            <w:r w:rsidRPr="0072753B">
              <w:rPr>
                <w:noProof w:val="0"/>
                <w:webHidden/>
              </w:rPr>
              <w:t>25</w:t>
            </w:r>
            <w:r w:rsidRPr="0072753B">
              <w:rPr>
                <w:noProof w:val="0"/>
                <w:webHidden/>
              </w:rPr>
              <w:fldChar w:fldCharType="end"/>
            </w:r>
          </w:hyperlink>
        </w:p>
        <w:p w14:paraId="59F36B11" w14:textId="431C0BA5"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89" w:history="1">
            <w:r w:rsidRPr="0072753B">
              <w:rPr>
                <w:rStyle w:val="Hyperlink"/>
                <w:noProof w:val="0"/>
              </w:rPr>
              <w:t>2.5</w:t>
            </w:r>
            <w:r w:rsidRPr="0072753B">
              <w:rPr>
                <w:rFonts w:asciiTheme="minorHAnsi" w:eastAsiaTheme="minorEastAsia" w:hAnsiTheme="minorHAnsi"/>
                <w:noProof w:val="0"/>
                <w:color w:val="auto"/>
                <w:kern w:val="2"/>
                <w:sz w:val="24"/>
                <w:szCs w:val="24"/>
                <w14:ligatures w14:val="standardContextual"/>
              </w:rPr>
              <w:tab/>
            </w:r>
            <w:r w:rsidRPr="0072753B">
              <w:rPr>
                <w:rStyle w:val="Hyperlink"/>
                <w:noProof w:val="0"/>
              </w:rPr>
              <w:t>Pacific Women Lead Enabling Services</w:t>
            </w:r>
            <w:r w:rsidRPr="0072753B">
              <w:rPr>
                <w:noProof w:val="0"/>
                <w:webHidden/>
              </w:rPr>
              <w:tab/>
            </w:r>
            <w:r w:rsidRPr="0072753B">
              <w:rPr>
                <w:noProof w:val="0"/>
                <w:webHidden/>
              </w:rPr>
              <w:fldChar w:fldCharType="begin"/>
            </w:r>
            <w:r w:rsidRPr="0072753B">
              <w:rPr>
                <w:noProof w:val="0"/>
                <w:webHidden/>
              </w:rPr>
              <w:instrText xml:space="preserve"> PAGEREF _Toc208777789 \h </w:instrText>
            </w:r>
            <w:r w:rsidRPr="0072753B">
              <w:rPr>
                <w:noProof w:val="0"/>
                <w:webHidden/>
              </w:rPr>
            </w:r>
            <w:r w:rsidRPr="0072753B">
              <w:rPr>
                <w:noProof w:val="0"/>
                <w:webHidden/>
              </w:rPr>
              <w:fldChar w:fldCharType="separate"/>
            </w:r>
            <w:r w:rsidRPr="0072753B">
              <w:rPr>
                <w:noProof w:val="0"/>
                <w:webHidden/>
              </w:rPr>
              <w:t>39</w:t>
            </w:r>
            <w:r w:rsidRPr="0072753B">
              <w:rPr>
                <w:noProof w:val="0"/>
                <w:webHidden/>
              </w:rPr>
              <w:fldChar w:fldCharType="end"/>
            </w:r>
          </w:hyperlink>
        </w:p>
        <w:p w14:paraId="6A5F5918" w14:textId="71027D29" w:rsidR="004969F6" w:rsidRPr="0072753B" w:rsidRDefault="004969F6" w:rsidP="0072753B">
          <w:pPr>
            <w:pStyle w:val="TOC1"/>
            <w:rPr>
              <w:rFonts w:asciiTheme="minorHAnsi" w:eastAsiaTheme="minorEastAsia" w:hAnsiTheme="minorHAnsi"/>
              <w:b w:val="0"/>
              <w:noProof w:val="0"/>
              <w:color w:val="auto"/>
              <w:kern w:val="2"/>
              <w:sz w:val="24"/>
              <w:szCs w:val="24"/>
              <w14:ligatures w14:val="standardContextual"/>
            </w:rPr>
          </w:pPr>
          <w:hyperlink w:anchor="_Toc208777790" w:history="1">
            <w:r w:rsidRPr="0072753B">
              <w:rPr>
                <w:rStyle w:val="Hyperlink"/>
                <w:noProof w:val="0"/>
              </w:rPr>
              <w:t>3</w:t>
            </w:r>
            <w:r w:rsidRPr="0072753B">
              <w:rPr>
                <w:rFonts w:asciiTheme="minorHAnsi" w:eastAsiaTheme="minorEastAsia" w:hAnsiTheme="minorHAnsi"/>
                <w:b w:val="0"/>
                <w:noProof w:val="0"/>
                <w:color w:val="auto"/>
                <w:kern w:val="2"/>
                <w:sz w:val="24"/>
                <w:szCs w:val="24"/>
                <w14:ligatures w14:val="standardContextual"/>
              </w:rPr>
              <w:tab/>
            </w:r>
            <w:r w:rsidRPr="0072753B">
              <w:rPr>
                <w:rStyle w:val="Hyperlink"/>
                <w:noProof w:val="0"/>
              </w:rPr>
              <w:t>More information and support</w:t>
            </w:r>
            <w:r w:rsidRPr="0072753B">
              <w:rPr>
                <w:noProof w:val="0"/>
                <w:webHidden/>
              </w:rPr>
              <w:tab/>
            </w:r>
            <w:r w:rsidRPr="0072753B">
              <w:rPr>
                <w:noProof w:val="0"/>
                <w:webHidden/>
              </w:rPr>
              <w:fldChar w:fldCharType="begin"/>
            </w:r>
            <w:r w:rsidRPr="0072753B">
              <w:rPr>
                <w:noProof w:val="0"/>
                <w:webHidden/>
              </w:rPr>
              <w:instrText xml:space="preserve"> PAGEREF _Toc208777790 \h </w:instrText>
            </w:r>
            <w:r w:rsidRPr="0072753B">
              <w:rPr>
                <w:noProof w:val="0"/>
                <w:webHidden/>
              </w:rPr>
            </w:r>
            <w:r w:rsidRPr="0072753B">
              <w:rPr>
                <w:noProof w:val="0"/>
                <w:webHidden/>
              </w:rPr>
              <w:fldChar w:fldCharType="separate"/>
            </w:r>
            <w:r w:rsidRPr="0072753B">
              <w:rPr>
                <w:noProof w:val="0"/>
                <w:webHidden/>
              </w:rPr>
              <w:t>40</w:t>
            </w:r>
            <w:r w:rsidRPr="0072753B">
              <w:rPr>
                <w:noProof w:val="0"/>
                <w:webHidden/>
              </w:rPr>
              <w:fldChar w:fldCharType="end"/>
            </w:r>
          </w:hyperlink>
        </w:p>
        <w:p w14:paraId="66E9D977" w14:textId="326014B4"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91" w:history="1">
            <w:r w:rsidRPr="0072753B">
              <w:rPr>
                <w:rStyle w:val="Hyperlink"/>
                <w:noProof w:val="0"/>
              </w:rPr>
              <w:t>3.1</w:t>
            </w:r>
            <w:r w:rsidRPr="0072753B">
              <w:rPr>
                <w:rFonts w:asciiTheme="minorHAnsi" w:eastAsiaTheme="minorEastAsia" w:hAnsiTheme="minorHAnsi"/>
                <w:noProof w:val="0"/>
                <w:color w:val="auto"/>
                <w:kern w:val="2"/>
                <w:sz w:val="24"/>
                <w:szCs w:val="24"/>
                <w14:ligatures w14:val="standardContextual"/>
              </w:rPr>
              <w:tab/>
            </w:r>
            <w:r w:rsidRPr="0072753B">
              <w:rPr>
                <w:rStyle w:val="Hyperlink"/>
                <w:noProof w:val="0"/>
              </w:rPr>
              <w:t>Monitoring, evaluation and learning support</w:t>
            </w:r>
            <w:r w:rsidRPr="0072753B">
              <w:rPr>
                <w:noProof w:val="0"/>
                <w:webHidden/>
              </w:rPr>
              <w:tab/>
            </w:r>
            <w:r w:rsidRPr="0072753B">
              <w:rPr>
                <w:noProof w:val="0"/>
                <w:webHidden/>
              </w:rPr>
              <w:fldChar w:fldCharType="begin"/>
            </w:r>
            <w:r w:rsidRPr="0072753B">
              <w:rPr>
                <w:noProof w:val="0"/>
                <w:webHidden/>
              </w:rPr>
              <w:instrText xml:space="preserve"> PAGEREF _Toc208777791 \h </w:instrText>
            </w:r>
            <w:r w:rsidRPr="0072753B">
              <w:rPr>
                <w:noProof w:val="0"/>
                <w:webHidden/>
              </w:rPr>
            </w:r>
            <w:r w:rsidRPr="0072753B">
              <w:rPr>
                <w:noProof w:val="0"/>
                <w:webHidden/>
              </w:rPr>
              <w:fldChar w:fldCharType="separate"/>
            </w:r>
            <w:r w:rsidRPr="0072753B">
              <w:rPr>
                <w:noProof w:val="0"/>
                <w:webHidden/>
              </w:rPr>
              <w:t>40</w:t>
            </w:r>
            <w:r w:rsidRPr="0072753B">
              <w:rPr>
                <w:noProof w:val="0"/>
                <w:webHidden/>
              </w:rPr>
              <w:fldChar w:fldCharType="end"/>
            </w:r>
          </w:hyperlink>
        </w:p>
        <w:p w14:paraId="34488BB7" w14:textId="3D998A28"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92" w:history="1">
            <w:r w:rsidRPr="0072753B">
              <w:rPr>
                <w:rStyle w:val="Hyperlink"/>
                <w:noProof w:val="0"/>
              </w:rPr>
              <w:t>3.2</w:t>
            </w:r>
            <w:r w:rsidRPr="0072753B">
              <w:rPr>
                <w:rFonts w:asciiTheme="minorHAnsi" w:eastAsiaTheme="minorEastAsia" w:hAnsiTheme="minorHAnsi"/>
                <w:noProof w:val="0"/>
                <w:color w:val="auto"/>
                <w:kern w:val="2"/>
                <w:sz w:val="24"/>
                <w:szCs w:val="24"/>
                <w14:ligatures w14:val="standardContextual"/>
              </w:rPr>
              <w:tab/>
            </w:r>
            <w:r w:rsidRPr="0072753B">
              <w:rPr>
                <w:rStyle w:val="Hyperlink"/>
                <w:noProof w:val="0"/>
              </w:rPr>
              <w:t>Quality Technical Assurance Group (QTAG)</w:t>
            </w:r>
            <w:r w:rsidRPr="0072753B">
              <w:rPr>
                <w:noProof w:val="0"/>
                <w:webHidden/>
              </w:rPr>
              <w:tab/>
            </w:r>
            <w:r w:rsidRPr="0072753B">
              <w:rPr>
                <w:noProof w:val="0"/>
                <w:webHidden/>
              </w:rPr>
              <w:fldChar w:fldCharType="begin"/>
            </w:r>
            <w:r w:rsidRPr="0072753B">
              <w:rPr>
                <w:noProof w:val="0"/>
                <w:webHidden/>
              </w:rPr>
              <w:instrText xml:space="preserve"> PAGEREF _Toc208777792 \h </w:instrText>
            </w:r>
            <w:r w:rsidRPr="0072753B">
              <w:rPr>
                <w:noProof w:val="0"/>
                <w:webHidden/>
              </w:rPr>
            </w:r>
            <w:r w:rsidRPr="0072753B">
              <w:rPr>
                <w:noProof w:val="0"/>
                <w:webHidden/>
              </w:rPr>
              <w:fldChar w:fldCharType="separate"/>
            </w:r>
            <w:r w:rsidRPr="0072753B">
              <w:rPr>
                <w:noProof w:val="0"/>
                <w:webHidden/>
              </w:rPr>
              <w:t>41</w:t>
            </w:r>
            <w:r w:rsidRPr="0072753B">
              <w:rPr>
                <w:noProof w:val="0"/>
                <w:webHidden/>
              </w:rPr>
              <w:fldChar w:fldCharType="end"/>
            </w:r>
          </w:hyperlink>
        </w:p>
        <w:p w14:paraId="5E24AB05" w14:textId="16117440"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93" w:history="1">
            <w:r w:rsidRPr="0072753B">
              <w:rPr>
                <w:rStyle w:val="Hyperlink"/>
                <w:noProof w:val="0"/>
              </w:rPr>
              <w:t>3.3</w:t>
            </w:r>
            <w:r w:rsidRPr="0072753B">
              <w:rPr>
                <w:rFonts w:asciiTheme="minorHAnsi" w:eastAsiaTheme="minorEastAsia" w:hAnsiTheme="minorHAnsi"/>
                <w:noProof w:val="0"/>
                <w:color w:val="auto"/>
                <w:kern w:val="2"/>
                <w:sz w:val="24"/>
                <w:szCs w:val="24"/>
                <w14:ligatures w14:val="standardContextual"/>
              </w:rPr>
              <w:tab/>
            </w:r>
            <w:r w:rsidRPr="0072753B">
              <w:rPr>
                <w:rStyle w:val="Hyperlink"/>
                <w:noProof w:val="0"/>
              </w:rPr>
              <w:t>Grant management</w:t>
            </w:r>
            <w:r w:rsidRPr="0072753B">
              <w:rPr>
                <w:noProof w:val="0"/>
                <w:webHidden/>
              </w:rPr>
              <w:tab/>
            </w:r>
            <w:r w:rsidRPr="0072753B">
              <w:rPr>
                <w:noProof w:val="0"/>
                <w:webHidden/>
              </w:rPr>
              <w:fldChar w:fldCharType="begin"/>
            </w:r>
            <w:r w:rsidRPr="0072753B">
              <w:rPr>
                <w:noProof w:val="0"/>
                <w:webHidden/>
              </w:rPr>
              <w:instrText xml:space="preserve"> PAGEREF _Toc208777793 \h </w:instrText>
            </w:r>
            <w:r w:rsidRPr="0072753B">
              <w:rPr>
                <w:noProof w:val="0"/>
                <w:webHidden/>
              </w:rPr>
            </w:r>
            <w:r w:rsidRPr="0072753B">
              <w:rPr>
                <w:noProof w:val="0"/>
                <w:webHidden/>
              </w:rPr>
              <w:fldChar w:fldCharType="separate"/>
            </w:r>
            <w:r w:rsidRPr="0072753B">
              <w:rPr>
                <w:noProof w:val="0"/>
                <w:webHidden/>
              </w:rPr>
              <w:t>41</w:t>
            </w:r>
            <w:r w:rsidRPr="0072753B">
              <w:rPr>
                <w:noProof w:val="0"/>
                <w:webHidden/>
              </w:rPr>
              <w:fldChar w:fldCharType="end"/>
            </w:r>
          </w:hyperlink>
        </w:p>
        <w:p w14:paraId="3FC1B9DB" w14:textId="06F5C0DE" w:rsidR="004969F6" w:rsidRPr="0072753B" w:rsidRDefault="004969F6" w:rsidP="0072753B">
          <w:pPr>
            <w:pStyle w:val="TOC2"/>
            <w:rPr>
              <w:rFonts w:asciiTheme="minorHAnsi" w:eastAsiaTheme="minorEastAsia" w:hAnsiTheme="minorHAnsi"/>
              <w:noProof w:val="0"/>
              <w:color w:val="auto"/>
              <w:kern w:val="2"/>
              <w:sz w:val="24"/>
              <w:szCs w:val="24"/>
              <w14:ligatures w14:val="standardContextual"/>
            </w:rPr>
          </w:pPr>
          <w:hyperlink w:anchor="_Toc208777794" w:history="1">
            <w:r w:rsidRPr="0072753B">
              <w:rPr>
                <w:rStyle w:val="Hyperlink"/>
                <w:noProof w:val="0"/>
              </w:rPr>
              <w:t>3.4</w:t>
            </w:r>
            <w:r w:rsidRPr="0072753B">
              <w:rPr>
                <w:rFonts w:asciiTheme="minorHAnsi" w:eastAsiaTheme="minorEastAsia" w:hAnsiTheme="minorHAnsi"/>
                <w:noProof w:val="0"/>
                <w:color w:val="auto"/>
                <w:kern w:val="2"/>
                <w:sz w:val="24"/>
                <w:szCs w:val="24"/>
                <w14:ligatures w14:val="standardContextual"/>
              </w:rPr>
              <w:tab/>
            </w:r>
            <w:r w:rsidRPr="0072753B">
              <w:rPr>
                <w:rStyle w:val="Hyperlink"/>
                <w:noProof w:val="0"/>
              </w:rPr>
              <w:t>Contact and feedback</w:t>
            </w:r>
            <w:r w:rsidRPr="0072753B">
              <w:rPr>
                <w:noProof w:val="0"/>
                <w:webHidden/>
              </w:rPr>
              <w:tab/>
            </w:r>
            <w:r w:rsidRPr="0072753B">
              <w:rPr>
                <w:noProof w:val="0"/>
                <w:webHidden/>
              </w:rPr>
              <w:fldChar w:fldCharType="begin"/>
            </w:r>
            <w:r w:rsidRPr="0072753B">
              <w:rPr>
                <w:noProof w:val="0"/>
                <w:webHidden/>
              </w:rPr>
              <w:instrText xml:space="preserve"> PAGEREF _Toc208777794 \h </w:instrText>
            </w:r>
            <w:r w:rsidRPr="0072753B">
              <w:rPr>
                <w:noProof w:val="0"/>
                <w:webHidden/>
              </w:rPr>
            </w:r>
            <w:r w:rsidRPr="0072753B">
              <w:rPr>
                <w:noProof w:val="0"/>
                <w:webHidden/>
              </w:rPr>
              <w:fldChar w:fldCharType="separate"/>
            </w:r>
            <w:r w:rsidRPr="0072753B">
              <w:rPr>
                <w:noProof w:val="0"/>
                <w:webHidden/>
              </w:rPr>
              <w:t>41</w:t>
            </w:r>
            <w:r w:rsidRPr="0072753B">
              <w:rPr>
                <w:noProof w:val="0"/>
                <w:webHidden/>
              </w:rPr>
              <w:fldChar w:fldCharType="end"/>
            </w:r>
          </w:hyperlink>
        </w:p>
        <w:p w14:paraId="46118374" w14:textId="667BFD92" w:rsidR="000D0073" w:rsidRPr="0072753B" w:rsidRDefault="000D0073" w:rsidP="0072753B">
          <w:pPr>
            <w:pStyle w:val="TOC2"/>
            <w:tabs>
              <w:tab w:val="left" w:pos="600"/>
            </w:tabs>
            <w:rPr>
              <w:rStyle w:val="Hyperlink"/>
              <w:noProof w:val="0"/>
              <w:kern w:val="2"/>
              <w14:ligatures w14:val="standardContextual"/>
            </w:rPr>
          </w:pPr>
          <w:r w:rsidRPr="0072753B">
            <w:rPr>
              <w:noProof w:val="0"/>
            </w:rPr>
            <w:fldChar w:fldCharType="end"/>
          </w:r>
        </w:p>
      </w:sdtContent>
    </w:sdt>
    <w:p w14:paraId="427996AC" w14:textId="1B6957CC" w:rsidR="6414A1A2" w:rsidRPr="0072753B" w:rsidRDefault="6414A1A2" w:rsidP="0072753B">
      <w:pPr>
        <w:pStyle w:val="TOC2"/>
        <w:tabs>
          <w:tab w:val="left" w:pos="660"/>
        </w:tabs>
        <w:rPr>
          <w:rStyle w:val="Hyperlink"/>
          <w:rFonts w:eastAsiaTheme="majorEastAsia" w:cstheme="majorBidi"/>
          <w:noProof w:val="0"/>
          <w:szCs w:val="32"/>
        </w:rPr>
      </w:pPr>
    </w:p>
    <w:p w14:paraId="3F2F07E9" w14:textId="452CB8B9" w:rsidR="00683DA1" w:rsidRPr="0072753B" w:rsidRDefault="00683DA1" w:rsidP="0072753B">
      <w:pPr>
        <w:spacing w:line="276" w:lineRule="auto"/>
        <w:jc w:val="left"/>
        <w:rPr>
          <w:rFonts w:asciiTheme="majorHAnsi" w:hAnsiTheme="majorHAnsi" w:cstheme="majorBidi"/>
          <w:sz w:val="20"/>
          <w:szCs w:val="20"/>
        </w:rPr>
      </w:pPr>
      <w:bookmarkStart w:id="1" w:name="_Hlk131511094"/>
    </w:p>
    <w:p w14:paraId="483E86DA" w14:textId="77777777" w:rsidR="00085363" w:rsidRPr="0072753B" w:rsidRDefault="00085363" w:rsidP="0072753B">
      <w:pPr>
        <w:pStyle w:val="Heading1"/>
        <w:numPr>
          <w:ilvl w:val="0"/>
          <w:numId w:val="0"/>
        </w:numPr>
      </w:pPr>
    </w:p>
    <w:p w14:paraId="17DC37A2" w14:textId="77777777" w:rsidR="000D0073" w:rsidRPr="0072753B" w:rsidRDefault="000D0073" w:rsidP="0072753B">
      <w:pPr>
        <w:jc w:val="left"/>
      </w:pPr>
    </w:p>
    <w:p w14:paraId="524279DA" w14:textId="77777777" w:rsidR="000D0073" w:rsidRPr="0072753B" w:rsidRDefault="000D0073" w:rsidP="0072753B">
      <w:pPr>
        <w:jc w:val="left"/>
      </w:pPr>
    </w:p>
    <w:p w14:paraId="30B85074" w14:textId="77777777" w:rsidR="000D0073" w:rsidRPr="0072753B" w:rsidRDefault="000D0073" w:rsidP="0072753B">
      <w:pPr>
        <w:jc w:val="left"/>
      </w:pPr>
    </w:p>
    <w:p w14:paraId="75EA6B86" w14:textId="77777777" w:rsidR="000D0073" w:rsidRPr="0072753B" w:rsidRDefault="000D0073" w:rsidP="0072753B">
      <w:pPr>
        <w:jc w:val="left"/>
      </w:pPr>
    </w:p>
    <w:p w14:paraId="5A88733A" w14:textId="77777777" w:rsidR="000D0073" w:rsidRPr="0072753B" w:rsidRDefault="000D0073" w:rsidP="0072753B">
      <w:pPr>
        <w:jc w:val="left"/>
      </w:pPr>
    </w:p>
    <w:p w14:paraId="4476BE95" w14:textId="77777777" w:rsidR="000D0073" w:rsidRPr="0072753B" w:rsidRDefault="000D0073" w:rsidP="0072753B">
      <w:pPr>
        <w:jc w:val="left"/>
      </w:pPr>
    </w:p>
    <w:p w14:paraId="429996F2" w14:textId="77777777" w:rsidR="000D0073" w:rsidRPr="0072753B" w:rsidRDefault="000D0073" w:rsidP="0072753B">
      <w:pPr>
        <w:jc w:val="left"/>
        <w:rPr>
          <w:rFonts w:eastAsiaTheme="majorEastAsia" w:cstheme="majorBidi"/>
          <w:color w:val="004B64" w:themeColor="accent2"/>
          <w:sz w:val="32"/>
          <w:szCs w:val="32"/>
        </w:rPr>
      </w:pPr>
    </w:p>
    <w:p w14:paraId="00FE82BE" w14:textId="77777777" w:rsidR="000D0073" w:rsidRPr="0072753B" w:rsidRDefault="000D0073" w:rsidP="0072753B">
      <w:pPr>
        <w:jc w:val="left"/>
        <w:sectPr w:rsidR="000D0073" w:rsidRPr="0072753B" w:rsidSect="00332E8F">
          <w:pgSz w:w="11906" w:h="16840"/>
          <w:pgMar w:top="720" w:right="1152" w:bottom="720" w:left="1152" w:header="562" w:footer="562" w:gutter="0"/>
          <w:cols w:space="708"/>
          <w:docGrid w:linePitch="360"/>
        </w:sectPr>
      </w:pPr>
    </w:p>
    <w:bookmarkEnd w:id="1"/>
    <w:p w14:paraId="2328F0E8" w14:textId="0DDA09F9" w:rsidR="1D490513" w:rsidRPr="0072753B" w:rsidRDefault="1D490513" w:rsidP="0072753B">
      <w:pPr>
        <w:pStyle w:val="BodyText"/>
        <w:spacing w:after="120"/>
        <w:rPr>
          <w:rStyle w:val="normaltextrun"/>
          <w:rFonts w:asciiTheme="majorHAnsi" w:hAnsiTheme="majorHAnsi" w:cstheme="majorBidi"/>
        </w:rPr>
      </w:pPr>
    </w:p>
    <w:p w14:paraId="2A06A124" w14:textId="7C153AF0" w:rsidR="33B33F78" w:rsidRPr="0072753B" w:rsidRDefault="33B33F78" w:rsidP="0072753B">
      <w:pPr>
        <w:pStyle w:val="Heading1"/>
        <w:spacing w:before="0"/>
        <w:rPr>
          <w:rFonts w:asciiTheme="majorHAnsi" w:hAnsiTheme="majorHAnsi"/>
        </w:rPr>
      </w:pPr>
      <w:bookmarkStart w:id="2" w:name="_Toc207912565"/>
      <w:bookmarkStart w:id="3" w:name="_Toc208777781"/>
      <w:r w:rsidRPr="0072753B">
        <w:rPr>
          <w:rFonts w:asciiTheme="majorHAnsi" w:hAnsiTheme="majorHAnsi"/>
        </w:rPr>
        <w:t>About Pacific Women Lead</w:t>
      </w:r>
      <w:bookmarkEnd w:id="2"/>
      <w:bookmarkEnd w:id="3"/>
    </w:p>
    <w:p w14:paraId="77BB544F" w14:textId="38BD1EE2" w:rsidR="00E34E37" w:rsidRPr="0072753B" w:rsidRDefault="00E34E37" w:rsidP="0072753B">
      <w:pPr>
        <w:pStyle w:val="BodyText"/>
        <w:spacing w:before="0" w:after="120" w:line="360" w:lineRule="auto"/>
        <w:rPr>
          <w:rStyle w:val="normaltextrun"/>
          <w:rFonts w:asciiTheme="majorHAnsi" w:eastAsiaTheme="majorEastAsia" w:hAnsiTheme="majorHAnsi" w:cstheme="majorHAnsi"/>
          <w:color w:val="004B64" w:themeColor="accent2"/>
          <w:sz w:val="22"/>
          <w:szCs w:val="20"/>
        </w:rPr>
      </w:pPr>
      <w:r w:rsidRPr="0072753B">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22EADB96" w:rsidR="00775AC0" w:rsidRPr="0072753B" w:rsidRDefault="00E34E37" w:rsidP="0072753B">
      <w:pPr>
        <w:pStyle w:val="BodyText"/>
        <w:spacing w:after="120" w:line="360" w:lineRule="auto"/>
        <w:rPr>
          <w:rFonts w:asciiTheme="majorHAnsi" w:hAnsiTheme="majorHAnsi" w:cstheme="majorHAnsi"/>
          <w:szCs w:val="20"/>
        </w:rPr>
      </w:pPr>
      <w:r w:rsidRPr="0072753B">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72753B">
        <w:rPr>
          <w:rFonts w:asciiTheme="majorHAnsi" w:hAnsiTheme="majorHAnsi" w:cstheme="majorHAnsi"/>
          <w:szCs w:val="20"/>
        </w:rPr>
        <w:t xml:space="preserve"> </w:t>
      </w:r>
      <w:r w:rsidR="00775AC0" w:rsidRPr="0072753B">
        <w:rPr>
          <w:rFonts w:asciiTheme="majorHAnsi" w:hAnsiTheme="majorHAnsi" w:cstheme="majorHAnsi"/>
          <w:szCs w:val="20"/>
        </w:rPr>
        <w:t>For m</w:t>
      </w:r>
      <w:r w:rsidR="00951D01" w:rsidRPr="0072753B">
        <w:rPr>
          <w:rFonts w:asciiTheme="majorHAnsi" w:hAnsiTheme="majorHAnsi" w:cstheme="majorHAnsi"/>
          <w:szCs w:val="20"/>
        </w:rPr>
        <w:t xml:space="preserve">ore information </w:t>
      </w:r>
      <w:r w:rsidR="00775AC0" w:rsidRPr="0072753B">
        <w:rPr>
          <w:rFonts w:asciiTheme="majorHAnsi" w:hAnsiTheme="majorHAnsi" w:cstheme="majorHAnsi"/>
          <w:szCs w:val="20"/>
        </w:rPr>
        <w:t xml:space="preserve">visit </w:t>
      </w:r>
      <w:hyperlink r:id="rId16" w:history="1">
        <w:r w:rsidR="00775AC0" w:rsidRPr="0072753B">
          <w:rPr>
            <w:rStyle w:val="Hyperlink"/>
            <w:rFonts w:asciiTheme="majorHAnsi" w:hAnsiTheme="majorHAnsi" w:cstheme="majorHAnsi"/>
            <w:szCs w:val="20"/>
          </w:rPr>
          <w:t>www.pacificwomen.org</w:t>
        </w:r>
      </w:hyperlink>
    </w:p>
    <w:p w14:paraId="6D4BCAFF" w14:textId="07AB8C3F" w:rsidR="0074253B" w:rsidRPr="0072753B" w:rsidRDefault="00951D01" w:rsidP="0072753B">
      <w:pPr>
        <w:pStyle w:val="Heading1"/>
        <w:rPr>
          <w:rFonts w:asciiTheme="majorHAnsi" w:hAnsiTheme="majorHAnsi"/>
        </w:rPr>
      </w:pPr>
      <w:bookmarkStart w:id="4" w:name="_Toc185938061"/>
      <w:bookmarkStart w:id="5" w:name="_Toc207912566"/>
      <w:bookmarkStart w:id="6" w:name="_Toc208777782"/>
      <w:bookmarkStart w:id="7" w:name="_Hlk185951278"/>
      <w:bookmarkStart w:id="8" w:name="_Toc121911663"/>
      <w:bookmarkStart w:id="9" w:name="_Toc121917476"/>
      <w:bookmarkStart w:id="10" w:name="_Hlk131508822"/>
      <w:r w:rsidRPr="0072753B">
        <w:rPr>
          <w:rFonts w:asciiTheme="majorHAnsi" w:hAnsiTheme="majorHAnsi"/>
        </w:rPr>
        <w:t xml:space="preserve">Overview of </w:t>
      </w:r>
      <w:r w:rsidR="00BE74DC" w:rsidRPr="0072753B">
        <w:rPr>
          <w:rFonts w:asciiTheme="majorHAnsi" w:hAnsiTheme="majorHAnsi"/>
        </w:rPr>
        <w:t xml:space="preserve">Regional </w:t>
      </w:r>
      <w:r w:rsidR="00B02590" w:rsidRPr="0072753B">
        <w:rPr>
          <w:rFonts w:asciiTheme="majorHAnsi" w:hAnsiTheme="majorHAnsi"/>
        </w:rPr>
        <w:t xml:space="preserve">Pacific Women Lead </w:t>
      </w:r>
      <w:bookmarkEnd w:id="4"/>
      <w:r w:rsidR="00BE74DC" w:rsidRPr="0072753B">
        <w:rPr>
          <w:rFonts w:asciiTheme="majorHAnsi" w:hAnsiTheme="majorHAnsi"/>
        </w:rPr>
        <w:t>Activities</w:t>
      </w:r>
      <w:bookmarkEnd w:id="5"/>
      <w:bookmarkEnd w:id="6"/>
    </w:p>
    <w:p w14:paraId="35AED702" w14:textId="1DC114BD" w:rsidR="00911F67" w:rsidRPr="0072753B" w:rsidRDefault="26C875A7" w:rsidP="0072753B">
      <w:pPr>
        <w:pStyle w:val="BodyText"/>
        <w:spacing w:after="120"/>
        <w:rPr>
          <w:rFonts w:asciiTheme="majorHAnsi" w:hAnsiTheme="majorHAnsi" w:cstheme="majorBidi"/>
        </w:rPr>
      </w:pPr>
      <w:bookmarkStart w:id="11" w:name="_Hlk185947790"/>
      <w:r w:rsidRPr="0072753B">
        <w:rPr>
          <w:rFonts w:asciiTheme="majorHAnsi" w:hAnsiTheme="majorHAnsi" w:cstheme="majorBidi"/>
        </w:rPr>
        <w:t xml:space="preserve">As </w:t>
      </w:r>
      <w:r w:rsidR="006223A7" w:rsidRPr="0072753B">
        <w:rPr>
          <w:rFonts w:asciiTheme="majorHAnsi" w:hAnsiTheme="majorHAnsi" w:cstheme="majorBidi"/>
        </w:rPr>
        <w:t xml:space="preserve">of </w:t>
      </w:r>
      <w:r w:rsidR="3C1A7E80" w:rsidRPr="0072753B">
        <w:rPr>
          <w:rFonts w:asciiTheme="majorHAnsi" w:hAnsiTheme="majorHAnsi" w:cstheme="majorBidi"/>
        </w:rPr>
        <w:t>31</w:t>
      </w:r>
      <w:r w:rsidR="6E8C3E7C" w:rsidRPr="0072753B">
        <w:rPr>
          <w:rFonts w:asciiTheme="majorHAnsi" w:hAnsiTheme="majorHAnsi" w:cstheme="majorBidi"/>
        </w:rPr>
        <w:t xml:space="preserve"> </w:t>
      </w:r>
      <w:r w:rsidR="28F6D6E5" w:rsidRPr="0072753B">
        <w:rPr>
          <w:rFonts w:asciiTheme="majorHAnsi" w:hAnsiTheme="majorHAnsi" w:cstheme="majorBidi"/>
        </w:rPr>
        <w:t>August</w:t>
      </w:r>
      <w:r w:rsidR="7F50B13C" w:rsidRPr="0072753B">
        <w:rPr>
          <w:rFonts w:asciiTheme="majorHAnsi" w:hAnsiTheme="majorHAnsi" w:cstheme="majorBidi"/>
        </w:rPr>
        <w:t xml:space="preserve"> 2025</w:t>
      </w:r>
      <w:r w:rsidR="3C1A7E80" w:rsidRPr="0072753B">
        <w:rPr>
          <w:rFonts w:asciiTheme="majorHAnsi" w:hAnsiTheme="majorHAnsi" w:cstheme="majorBidi"/>
        </w:rPr>
        <w:t>,</w:t>
      </w:r>
      <w:r w:rsidRPr="0072753B">
        <w:rPr>
          <w:rFonts w:asciiTheme="majorHAnsi" w:hAnsiTheme="majorHAnsi" w:cstheme="majorBidi"/>
        </w:rPr>
        <w:t xml:space="preserve"> </w:t>
      </w:r>
      <w:r w:rsidR="00C04B3A" w:rsidRPr="0072753B">
        <w:rPr>
          <w:rFonts w:asciiTheme="majorHAnsi" w:hAnsiTheme="majorHAnsi" w:cstheme="majorBidi"/>
        </w:rPr>
        <w:t>5</w:t>
      </w:r>
      <w:r w:rsidR="00D666EF" w:rsidRPr="0072753B">
        <w:rPr>
          <w:rFonts w:asciiTheme="majorHAnsi" w:hAnsiTheme="majorHAnsi" w:cstheme="majorBidi"/>
        </w:rPr>
        <w:t>2</w:t>
      </w:r>
      <w:r w:rsidR="00C04B3A" w:rsidRPr="0072753B">
        <w:rPr>
          <w:rFonts w:asciiTheme="majorHAnsi" w:hAnsiTheme="majorHAnsi" w:cstheme="majorBidi"/>
        </w:rPr>
        <w:t xml:space="preserve"> </w:t>
      </w:r>
      <w:r w:rsidRPr="0072753B">
        <w:rPr>
          <w:rFonts w:asciiTheme="majorHAnsi" w:hAnsiTheme="majorHAnsi" w:cstheme="majorBidi"/>
        </w:rPr>
        <w:t>Pacific Women Lead</w:t>
      </w:r>
      <w:r w:rsidR="1CDC76D5" w:rsidRPr="0072753B">
        <w:rPr>
          <w:rFonts w:asciiTheme="majorHAnsi" w:hAnsiTheme="majorHAnsi" w:cstheme="majorBidi"/>
        </w:rPr>
        <w:t xml:space="preserve"> projects </w:t>
      </w:r>
      <w:r w:rsidR="0110471E" w:rsidRPr="0072753B">
        <w:rPr>
          <w:rFonts w:asciiTheme="majorHAnsi" w:hAnsiTheme="majorHAnsi" w:cstheme="majorBidi"/>
        </w:rPr>
        <w:t xml:space="preserve">and </w:t>
      </w:r>
      <w:r w:rsidR="00C13C89" w:rsidRPr="0072753B">
        <w:rPr>
          <w:rFonts w:asciiTheme="majorHAnsi" w:hAnsiTheme="majorHAnsi" w:cstheme="majorBidi"/>
        </w:rPr>
        <w:t>4</w:t>
      </w:r>
      <w:r w:rsidR="0110471E" w:rsidRPr="0072753B">
        <w:rPr>
          <w:rFonts w:asciiTheme="majorHAnsi" w:hAnsiTheme="majorHAnsi" w:cstheme="majorBidi"/>
        </w:rPr>
        <w:t xml:space="preserve"> research</w:t>
      </w:r>
      <w:r w:rsidR="00E978FE" w:rsidRPr="0072753B">
        <w:rPr>
          <w:rFonts w:asciiTheme="majorHAnsi" w:hAnsiTheme="majorHAnsi" w:cstheme="majorBidi"/>
        </w:rPr>
        <w:t xml:space="preserve"> </w:t>
      </w:r>
      <w:r w:rsidR="00D17C3E" w:rsidRPr="0072753B">
        <w:rPr>
          <w:rFonts w:asciiTheme="majorHAnsi" w:hAnsiTheme="majorHAnsi" w:cstheme="majorBidi"/>
        </w:rPr>
        <w:t xml:space="preserve">projects </w:t>
      </w:r>
      <w:r w:rsidR="00DC15F4" w:rsidRPr="0072753B">
        <w:rPr>
          <w:rFonts w:asciiTheme="majorHAnsi" w:hAnsiTheme="majorHAnsi" w:cstheme="majorBidi"/>
        </w:rPr>
        <w:t>are being</w:t>
      </w:r>
      <w:r w:rsidR="7E6682C4" w:rsidRPr="0072753B">
        <w:rPr>
          <w:rFonts w:asciiTheme="majorHAnsi" w:hAnsiTheme="majorHAnsi" w:cstheme="majorBidi"/>
        </w:rPr>
        <w:t xml:space="preserve"> (or had been)</w:t>
      </w:r>
      <w:r w:rsidR="1CDC76D5" w:rsidRPr="0072753B">
        <w:rPr>
          <w:rFonts w:asciiTheme="majorHAnsi" w:hAnsiTheme="majorHAnsi" w:cstheme="majorBidi"/>
        </w:rPr>
        <w:t xml:space="preserve"> implemented </w:t>
      </w:r>
      <w:r w:rsidR="1BE4D717" w:rsidRPr="0072753B">
        <w:rPr>
          <w:rFonts w:asciiTheme="majorHAnsi" w:hAnsiTheme="majorHAnsi" w:cstheme="majorBidi"/>
        </w:rPr>
        <w:t>regionally</w:t>
      </w:r>
      <w:r w:rsidR="1CDC76D5" w:rsidRPr="0072753B">
        <w:rPr>
          <w:rFonts w:asciiTheme="majorHAnsi" w:hAnsiTheme="majorHAnsi" w:cstheme="majorBidi"/>
        </w:rPr>
        <w:t xml:space="preserve">, with a total funding </w:t>
      </w:r>
      <w:r w:rsidR="008E4C56" w:rsidRPr="0072753B">
        <w:rPr>
          <w:rFonts w:asciiTheme="majorHAnsi" w:hAnsiTheme="majorHAnsi" w:cstheme="majorBidi"/>
        </w:rPr>
        <w:t>envelope of</w:t>
      </w:r>
      <w:r w:rsidR="1CDC76D5" w:rsidRPr="0072753B">
        <w:rPr>
          <w:rFonts w:asciiTheme="majorHAnsi" w:hAnsiTheme="majorHAnsi" w:cstheme="majorBidi"/>
        </w:rPr>
        <w:t xml:space="preserve"> </w:t>
      </w:r>
      <w:r w:rsidR="5EFB7DC3" w:rsidRPr="0072753B">
        <w:rPr>
          <w:rFonts w:asciiTheme="majorHAnsi" w:hAnsiTheme="majorHAnsi" w:cstheme="majorBidi"/>
        </w:rPr>
        <w:t>AUD</w:t>
      </w:r>
      <w:r w:rsidR="007445B0" w:rsidRPr="0072753B">
        <w:rPr>
          <w:rFonts w:asciiTheme="majorHAnsi" w:hAnsiTheme="majorHAnsi" w:cstheme="majorBidi"/>
        </w:rPr>
        <w:t>219</w:t>
      </w:r>
      <w:r w:rsidR="008D16CA" w:rsidRPr="0072753B">
        <w:rPr>
          <w:rFonts w:asciiTheme="majorHAnsi" w:hAnsiTheme="majorHAnsi" w:cstheme="majorBidi"/>
        </w:rPr>
        <w:t>,</w:t>
      </w:r>
      <w:r w:rsidR="007445B0" w:rsidRPr="0072753B">
        <w:rPr>
          <w:rFonts w:asciiTheme="majorHAnsi" w:hAnsiTheme="majorHAnsi" w:cstheme="majorBidi"/>
        </w:rPr>
        <w:t>153</w:t>
      </w:r>
      <w:r w:rsidR="008D16CA" w:rsidRPr="0072753B">
        <w:rPr>
          <w:rFonts w:asciiTheme="majorHAnsi" w:hAnsiTheme="majorHAnsi" w:cstheme="majorBidi"/>
        </w:rPr>
        <w:t>,</w:t>
      </w:r>
      <w:r w:rsidR="007445B0" w:rsidRPr="0072753B">
        <w:rPr>
          <w:rFonts w:asciiTheme="majorHAnsi" w:hAnsiTheme="majorHAnsi" w:cstheme="majorBidi"/>
        </w:rPr>
        <w:t>873</w:t>
      </w:r>
      <w:r w:rsidR="00665525" w:rsidRPr="0072753B">
        <w:rPr>
          <w:rStyle w:val="FootnoteReference"/>
          <w:rFonts w:asciiTheme="majorHAnsi" w:hAnsiTheme="majorHAnsi" w:cstheme="majorBidi"/>
        </w:rPr>
        <w:footnoteReference w:id="2"/>
      </w:r>
    </w:p>
    <w:p w14:paraId="28801B4E" w14:textId="3EA73A03" w:rsidR="00BE5EA9" w:rsidRPr="0072753B" w:rsidRDefault="00491E8C" w:rsidP="0072753B">
      <w:pPr>
        <w:pStyle w:val="BodyText"/>
        <w:spacing w:after="360"/>
        <w:rPr>
          <w:rStyle w:val="normaltextrun"/>
          <w:rFonts w:asciiTheme="majorHAnsi" w:hAnsiTheme="majorHAnsi" w:cstheme="majorBidi"/>
          <w:sz w:val="22"/>
        </w:rPr>
      </w:pPr>
      <w:r w:rsidRPr="0072753B">
        <w:rPr>
          <w:rFonts w:asciiTheme="majorHAnsi" w:hAnsiTheme="majorHAnsi" w:cstheme="majorBidi"/>
        </w:rPr>
        <w:t>Table 1 shows how each of these projec</w:t>
      </w:r>
      <w:r w:rsidR="00EA05D5" w:rsidRPr="0072753B">
        <w:rPr>
          <w:rFonts w:asciiTheme="majorHAnsi" w:hAnsiTheme="majorHAnsi" w:cstheme="majorBidi"/>
        </w:rPr>
        <w:t>ts are linked to the different PWL portfolio components.</w:t>
      </w:r>
      <w:r w:rsidR="002D5761" w:rsidRPr="0072753B">
        <w:rPr>
          <w:rStyle w:val="FootnoteReference"/>
          <w:rFonts w:asciiTheme="majorHAnsi" w:hAnsiTheme="majorHAnsi" w:cstheme="majorBidi"/>
        </w:rPr>
        <w:footnoteReference w:id="3"/>
      </w:r>
      <w:r w:rsidR="00EA05D5" w:rsidRPr="0072753B">
        <w:rPr>
          <w:rFonts w:asciiTheme="majorHAnsi" w:hAnsiTheme="majorHAnsi" w:cstheme="majorBidi"/>
        </w:rPr>
        <w:t xml:space="preserve"> </w:t>
      </w:r>
      <w:r w:rsidR="00916EBB" w:rsidRPr="0072753B">
        <w:rPr>
          <w:rStyle w:val="normaltextrun"/>
          <w:rFonts w:asciiTheme="majorHAnsi" w:hAnsiTheme="majorHAnsi" w:cstheme="majorBidi"/>
        </w:rPr>
        <w:t>Through these components, technical support and funding is provided to Pacific civil society organisations, multilateral and regional organisations, government and other stakeholders.</w:t>
      </w:r>
      <w:bookmarkStart w:id="12" w:name="_Hlk185768772"/>
      <w:bookmarkEnd w:id="7"/>
      <w:bookmarkEnd w:id="11"/>
    </w:p>
    <w:p w14:paraId="7F2034A3" w14:textId="078AEC70" w:rsidR="00BF1CDC" w:rsidRPr="0072753B" w:rsidRDefault="00BF1CDC" w:rsidP="0072753B">
      <w:pPr>
        <w:pStyle w:val="Caption"/>
        <w:rPr>
          <w:color w:val="auto"/>
          <w:sz w:val="20"/>
          <w:szCs w:val="20"/>
        </w:rPr>
      </w:pPr>
      <w:r w:rsidRPr="0072753B">
        <w:rPr>
          <w:color w:val="auto"/>
          <w:sz w:val="20"/>
          <w:szCs w:val="20"/>
        </w:rPr>
        <w:t xml:space="preserve">Table </w:t>
      </w:r>
      <w:r w:rsidRPr="0072753B">
        <w:rPr>
          <w:color w:val="auto"/>
          <w:sz w:val="20"/>
          <w:szCs w:val="20"/>
        </w:rPr>
        <w:fldChar w:fldCharType="begin"/>
      </w:r>
      <w:r w:rsidRPr="0072753B">
        <w:rPr>
          <w:color w:val="auto"/>
          <w:sz w:val="20"/>
          <w:szCs w:val="20"/>
        </w:rPr>
        <w:instrText xml:space="preserve"> SEQ Table \* ARABIC </w:instrText>
      </w:r>
      <w:r w:rsidRPr="0072753B">
        <w:rPr>
          <w:color w:val="auto"/>
          <w:sz w:val="20"/>
          <w:szCs w:val="20"/>
        </w:rPr>
        <w:fldChar w:fldCharType="separate"/>
      </w:r>
      <w:r w:rsidRPr="0072753B">
        <w:rPr>
          <w:color w:val="auto"/>
          <w:sz w:val="20"/>
          <w:szCs w:val="20"/>
        </w:rPr>
        <w:t>1</w:t>
      </w:r>
      <w:r w:rsidRPr="0072753B">
        <w:rPr>
          <w:color w:val="auto"/>
          <w:sz w:val="20"/>
          <w:szCs w:val="20"/>
        </w:rPr>
        <w:fldChar w:fldCharType="end"/>
      </w:r>
      <w:r w:rsidRPr="0072753B">
        <w:rPr>
          <w:color w:val="auto"/>
          <w:sz w:val="20"/>
          <w:szCs w:val="20"/>
        </w:rPr>
        <w:t xml:space="preserve">: Summary of PWL regional activities as </w:t>
      </w:r>
      <w:r w:rsidR="00E978FE" w:rsidRPr="0072753B">
        <w:rPr>
          <w:color w:val="auto"/>
          <w:sz w:val="20"/>
          <w:szCs w:val="20"/>
        </w:rPr>
        <w:t xml:space="preserve">of </w:t>
      </w:r>
      <w:r w:rsidR="00E75137" w:rsidRPr="0072753B">
        <w:rPr>
          <w:color w:val="auto"/>
          <w:sz w:val="20"/>
          <w:szCs w:val="20"/>
        </w:rPr>
        <w:t>31 August</w:t>
      </w:r>
      <w:r w:rsidR="00E978FE" w:rsidRPr="0072753B">
        <w:rPr>
          <w:color w:val="auto"/>
          <w:sz w:val="20"/>
          <w:szCs w:val="20"/>
        </w:rPr>
        <w:t xml:space="preserve"> </w:t>
      </w:r>
      <w:r w:rsidRPr="0072753B">
        <w:rPr>
          <w:color w:val="auto"/>
          <w:sz w:val="20"/>
          <w:szCs w:val="20"/>
        </w:rPr>
        <w:t>2025</w:t>
      </w:r>
    </w:p>
    <w:tbl>
      <w:tblPr>
        <w:tblStyle w:val="PlainTable2"/>
        <w:tblW w:w="13671" w:type="dxa"/>
        <w:tblInd w:w="28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gridCol w:w="2268"/>
        <w:gridCol w:w="2296"/>
        <w:gridCol w:w="3437"/>
      </w:tblGrid>
      <w:tr w:rsidR="000C7B1C" w:rsidRPr="0072753B" w14:paraId="1A704BB6" w14:textId="77777777" w:rsidTr="00CA6E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Borders>
              <w:bottom w:val="single" w:sz="4" w:space="0" w:color="auto"/>
            </w:tcBorders>
            <w:shd w:val="clear" w:color="auto" w:fill="006699"/>
          </w:tcPr>
          <w:p w14:paraId="11905B9C" w14:textId="77777777" w:rsidR="00BF1CDC" w:rsidRPr="0072753B" w:rsidRDefault="00BF1CDC" w:rsidP="0072753B">
            <w:pPr>
              <w:pStyle w:val="BodyText"/>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PWL components</w:t>
            </w:r>
          </w:p>
        </w:tc>
        <w:tc>
          <w:tcPr>
            <w:tcW w:w="1843" w:type="dxa"/>
            <w:tcBorders>
              <w:bottom w:val="single" w:sz="4" w:space="0" w:color="auto"/>
            </w:tcBorders>
            <w:shd w:val="clear" w:color="auto" w:fill="006699"/>
          </w:tcPr>
          <w:p w14:paraId="6A173607" w14:textId="3DF53631" w:rsidR="00BF1CDC" w:rsidRPr="0072753B" w:rsidRDefault="00BF1CD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 of projects</w:t>
            </w:r>
            <w:r w:rsidR="006D2389" w:rsidRPr="0072753B">
              <w:rPr>
                <w:rFonts w:asciiTheme="majorHAnsi" w:hAnsiTheme="majorHAnsi" w:cstheme="majorHAnsi"/>
                <w:color w:val="FFFFFF" w:themeColor="background1"/>
                <w:szCs w:val="20"/>
              </w:rPr>
              <w:t>/grants</w:t>
            </w:r>
          </w:p>
        </w:tc>
        <w:tc>
          <w:tcPr>
            <w:tcW w:w="2268" w:type="dxa"/>
            <w:tcBorders>
              <w:bottom w:val="single" w:sz="4" w:space="0" w:color="auto"/>
            </w:tcBorders>
            <w:shd w:val="clear" w:color="auto" w:fill="006699"/>
          </w:tcPr>
          <w:p w14:paraId="178099E4" w14:textId="77777777" w:rsidR="00BF1CDC" w:rsidRPr="0072753B" w:rsidRDefault="00BF1CDC" w:rsidP="0072753B">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Ongoing</w:t>
            </w:r>
          </w:p>
        </w:tc>
        <w:tc>
          <w:tcPr>
            <w:tcW w:w="2296" w:type="dxa"/>
            <w:tcBorders>
              <w:bottom w:val="single" w:sz="4" w:space="0" w:color="auto"/>
            </w:tcBorders>
            <w:shd w:val="clear" w:color="auto" w:fill="006699"/>
          </w:tcPr>
          <w:p w14:paraId="3B9C7028" w14:textId="77777777" w:rsidR="00BF1CDC" w:rsidRPr="0072753B" w:rsidRDefault="00BF1CDC" w:rsidP="0072753B">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Completed</w:t>
            </w:r>
          </w:p>
        </w:tc>
        <w:tc>
          <w:tcPr>
            <w:tcW w:w="3437" w:type="dxa"/>
            <w:tcBorders>
              <w:bottom w:val="single" w:sz="4" w:space="0" w:color="auto"/>
            </w:tcBorders>
            <w:shd w:val="clear" w:color="auto" w:fill="006699"/>
          </w:tcPr>
          <w:p w14:paraId="7B878E70" w14:textId="77777777" w:rsidR="00BF1CDC" w:rsidRPr="0072753B" w:rsidRDefault="00BF1CDC" w:rsidP="0072753B">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Total funding (AUD)</w:t>
            </w:r>
          </w:p>
        </w:tc>
      </w:tr>
      <w:tr w:rsidR="0066169E" w:rsidRPr="0072753B" w14:paraId="3DFFA7F4"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auto"/>
            </w:tcBorders>
          </w:tcPr>
          <w:p w14:paraId="611543AE" w14:textId="7E367B13" w:rsidR="00BF1CDC" w:rsidRPr="0072753B" w:rsidRDefault="009941BA" w:rsidP="0072753B">
            <w:pPr>
              <w:pStyle w:val="BodyText"/>
              <w:rPr>
                <w:rFonts w:asciiTheme="majorHAnsi" w:hAnsiTheme="majorHAnsi" w:cstheme="majorHAnsi"/>
                <w:szCs w:val="20"/>
              </w:rPr>
            </w:pPr>
            <w:r w:rsidRPr="0072753B">
              <w:rPr>
                <w:rFonts w:asciiTheme="majorHAnsi" w:hAnsiTheme="majorHAnsi" w:cstheme="majorHAnsi"/>
                <w:szCs w:val="20"/>
              </w:rPr>
              <w:t>The Pacific Community (SPC)</w:t>
            </w:r>
          </w:p>
        </w:tc>
        <w:tc>
          <w:tcPr>
            <w:tcW w:w="1843" w:type="dxa"/>
            <w:tcBorders>
              <w:top w:val="single" w:sz="4" w:space="0" w:color="auto"/>
            </w:tcBorders>
          </w:tcPr>
          <w:p w14:paraId="07D25DC1" w14:textId="6E9A35FD" w:rsidR="00BF1CDC" w:rsidRPr="0072753B" w:rsidRDefault="00BC7AD0"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68" w:type="dxa"/>
            <w:tcBorders>
              <w:top w:val="single" w:sz="4" w:space="0" w:color="auto"/>
            </w:tcBorders>
            <w:shd w:val="clear" w:color="auto" w:fill="E7E6E6" w:themeFill="background2"/>
          </w:tcPr>
          <w:p w14:paraId="2C636C0A" w14:textId="3B07642E" w:rsidR="00BF1CDC" w:rsidRPr="0072753B" w:rsidRDefault="00BC7AD0"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96" w:type="dxa"/>
            <w:tcBorders>
              <w:top w:val="single" w:sz="4" w:space="0" w:color="auto"/>
            </w:tcBorders>
            <w:shd w:val="clear" w:color="auto" w:fill="E7E6E6" w:themeFill="background2"/>
          </w:tcPr>
          <w:p w14:paraId="7D347493" w14:textId="00E4972F" w:rsidR="00BF1CDC" w:rsidRPr="0072753B" w:rsidRDefault="00BC7AD0"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p>
        </w:tc>
        <w:tc>
          <w:tcPr>
            <w:tcW w:w="3437" w:type="dxa"/>
            <w:tcBorders>
              <w:top w:val="single" w:sz="4" w:space="0" w:color="auto"/>
            </w:tcBorders>
          </w:tcPr>
          <w:p w14:paraId="60692D67" w14:textId="2843E8D8" w:rsidR="00BF1CDC" w:rsidRPr="0072753B" w:rsidRDefault="003A731C"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sidRPr="0072753B">
              <w:rPr>
                <w:rFonts w:ascii="Aptos Narrow" w:hAnsi="Aptos Narrow"/>
                <w:color w:val="000000"/>
                <w:sz w:val="22"/>
              </w:rPr>
              <w:t>$42,153,622</w:t>
            </w:r>
            <w:r w:rsidR="007F7D25" w:rsidRPr="0072753B">
              <w:rPr>
                <w:rStyle w:val="FootnoteReference"/>
                <w:rFonts w:asciiTheme="majorHAnsi" w:hAnsiTheme="majorHAnsi" w:cstheme="majorHAnsi"/>
                <w:szCs w:val="20"/>
              </w:rPr>
              <w:footnoteReference w:id="4"/>
            </w:r>
          </w:p>
        </w:tc>
      </w:tr>
      <w:tr w:rsidR="0066169E" w:rsidRPr="0072753B" w14:paraId="24EED579"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3827" w:type="dxa"/>
          </w:tcPr>
          <w:p w14:paraId="4A982959" w14:textId="0E9F78C0" w:rsidR="00BC7AD0" w:rsidRPr="0072753B" w:rsidRDefault="00F97110" w:rsidP="0072753B">
            <w:pPr>
              <w:pStyle w:val="BodyText"/>
              <w:rPr>
                <w:rFonts w:asciiTheme="majorHAnsi" w:hAnsiTheme="majorHAnsi" w:cstheme="majorHAnsi"/>
                <w:szCs w:val="20"/>
              </w:rPr>
            </w:pPr>
            <w:r w:rsidRPr="0072753B">
              <w:rPr>
                <w:rFonts w:asciiTheme="majorHAnsi" w:hAnsiTheme="majorHAnsi" w:cstheme="majorHAnsi"/>
                <w:szCs w:val="20"/>
              </w:rPr>
              <w:t>The Pacific Community (SPC)</w:t>
            </w:r>
            <w:r w:rsidR="00BC7AD0" w:rsidRPr="0072753B">
              <w:rPr>
                <w:rFonts w:asciiTheme="majorHAnsi" w:hAnsiTheme="majorHAnsi" w:cstheme="majorHAnsi"/>
                <w:szCs w:val="20"/>
              </w:rPr>
              <w:t xml:space="preserve"> </w:t>
            </w:r>
            <w:r w:rsidR="00EA5CFA" w:rsidRPr="0072753B">
              <w:rPr>
                <w:rFonts w:asciiTheme="majorHAnsi" w:hAnsiTheme="majorHAnsi" w:cstheme="majorHAnsi"/>
                <w:szCs w:val="20"/>
              </w:rPr>
              <w:t>grants</w:t>
            </w:r>
          </w:p>
        </w:tc>
        <w:tc>
          <w:tcPr>
            <w:tcW w:w="1843" w:type="dxa"/>
          </w:tcPr>
          <w:p w14:paraId="4A770F40" w14:textId="6EF20D25" w:rsidR="00BC7AD0" w:rsidRPr="0072753B" w:rsidRDefault="00D94FEA"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w:t>
            </w:r>
            <w:r w:rsidR="000C2F98" w:rsidRPr="0072753B">
              <w:rPr>
                <w:rFonts w:asciiTheme="majorHAnsi" w:hAnsiTheme="majorHAnsi" w:cstheme="majorHAnsi"/>
                <w:szCs w:val="20"/>
              </w:rPr>
              <w:t>39</w:t>
            </w:r>
          </w:p>
        </w:tc>
        <w:tc>
          <w:tcPr>
            <w:tcW w:w="2268" w:type="dxa"/>
            <w:shd w:val="clear" w:color="auto" w:fill="E7E6E6" w:themeFill="background2"/>
          </w:tcPr>
          <w:p w14:paraId="5490F4DF" w14:textId="6424FFD2" w:rsidR="00BC7AD0" w:rsidRPr="0072753B" w:rsidRDefault="00615F07"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35</w:t>
            </w:r>
            <w:r w:rsidR="00403E7E" w:rsidRPr="0072753B">
              <w:rPr>
                <w:rFonts w:asciiTheme="majorHAnsi" w:hAnsiTheme="majorHAnsi" w:cstheme="majorHAnsi"/>
                <w:szCs w:val="20"/>
              </w:rPr>
              <w:t xml:space="preserve"> </w:t>
            </w:r>
          </w:p>
        </w:tc>
        <w:tc>
          <w:tcPr>
            <w:tcW w:w="2296" w:type="dxa"/>
            <w:shd w:val="clear" w:color="auto" w:fill="E7E6E6" w:themeFill="background2"/>
          </w:tcPr>
          <w:p w14:paraId="580EFB0F" w14:textId="01E35607" w:rsidR="00BC7AD0" w:rsidRPr="0072753B" w:rsidRDefault="00551FDE" w:rsidP="0072753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4</w:t>
            </w:r>
          </w:p>
        </w:tc>
        <w:tc>
          <w:tcPr>
            <w:tcW w:w="3437" w:type="dxa"/>
          </w:tcPr>
          <w:p w14:paraId="51C24571" w14:textId="5E689E18" w:rsidR="00F63FD2" w:rsidRPr="0072753B" w:rsidRDefault="00B70ED8"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r w:rsidR="00156052" w:rsidRPr="0072753B">
              <w:rPr>
                <w:rFonts w:asciiTheme="majorHAnsi" w:hAnsiTheme="majorHAnsi" w:cstheme="majorHAnsi"/>
                <w:szCs w:val="20"/>
              </w:rPr>
              <w:t>15,446,377</w:t>
            </w:r>
          </w:p>
        </w:tc>
      </w:tr>
      <w:tr w:rsidR="0066169E" w:rsidRPr="0072753B" w14:paraId="7B954BEB"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Pr>
          <w:p w14:paraId="29D14D9F" w14:textId="38F5342C" w:rsidR="00F25F13" w:rsidRPr="0072753B" w:rsidRDefault="00F25F13" w:rsidP="0072753B">
            <w:pPr>
              <w:pStyle w:val="BodyText"/>
              <w:rPr>
                <w:rFonts w:asciiTheme="majorHAnsi" w:hAnsiTheme="majorHAnsi" w:cstheme="majorHAnsi"/>
                <w:szCs w:val="20"/>
              </w:rPr>
            </w:pPr>
            <w:r w:rsidRPr="0072753B">
              <w:rPr>
                <w:rFonts w:asciiTheme="majorHAnsi" w:hAnsiTheme="majorHAnsi" w:cstheme="majorHAnsi"/>
                <w:szCs w:val="20"/>
              </w:rPr>
              <w:lastRenderedPageBreak/>
              <w:t xml:space="preserve">PWL Governance Board </w:t>
            </w:r>
            <w:r w:rsidR="006D2389" w:rsidRPr="0072753B">
              <w:rPr>
                <w:rFonts w:asciiTheme="majorHAnsi" w:hAnsiTheme="majorHAnsi" w:cstheme="majorHAnsi"/>
                <w:szCs w:val="20"/>
              </w:rPr>
              <w:t>grants</w:t>
            </w:r>
          </w:p>
        </w:tc>
        <w:tc>
          <w:tcPr>
            <w:tcW w:w="1843" w:type="dxa"/>
          </w:tcPr>
          <w:p w14:paraId="5D9B9BBC" w14:textId="7C183BC6" w:rsidR="00F25F13" w:rsidRPr="0072753B" w:rsidRDefault="3414A17C"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2 </w:t>
            </w:r>
          </w:p>
        </w:tc>
        <w:tc>
          <w:tcPr>
            <w:tcW w:w="2268" w:type="dxa"/>
            <w:shd w:val="clear" w:color="auto" w:fill="E7E6E6" w:themeFill="background2"/>
          </w:tcPr>
          <w:p w14:paraId="35B2665F" w14:textId="0E486FD5" w:rsidR="00F25F13" w:rsidRPr="0072753B" w:rsidRDefault="1D0A80A9"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2</w:t>
            </w:r>
          </w:p>
        </w:tc>
        <w:tc>
          <w:tcPr>
            <w:tcW w:w="2296" w:type="dxa"/>
            <w:shd w:val="clear" w:color="auto" w:fill="E7E6E6" w:themeFill="background2"/>
          </w:tcPr>
          <w:p w14:paraId="180E13A5" w14:textId="50A76E93" w:rsidR="00F25F13" w:rsidRPr="0072753B" w:rsidRDefault="00F25F13"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p>
        </w:tc>
        <w:tc>
          <w:tcPr>
            <w:tcW w:w="3437" w:type="dxa"/>
          </w:tcPr>
          <w:p w14:paraId="6F145F34" w14:textId="12DEB528" w:rsidR="00B07A8C" w:rsidRPr="0072753B" w:rsidRDefault="0098026F" w:rsidP="0072753B">
            <w:pPr>
              <w:pStyle w:val="BodyText"/>
              <w:spacing w:after="0"/>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r w:rsidR="00B07A8C" w:rsidRPr="0072753B">
              <w:rPr>
                <w:rFonts w:asciiTheme="majorHAnsi" w:hAnsiTheme="majorHAnsi" w:cstheme="majorHAnsi"/>
                <w:szCs w:val="20"/>
              </w:rPr>
              <w:t>872,128</w:t>
            </w:r>
          </w:p>
        </w:tc>
      </w:tr>
      <w:tr w:rsidR="001E36AD" w:rsidRPr="0072753B" w14:paraId="581F0597"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3827" w:type="dxa"/>
          </w:tcPr>
          <w:p w14:paraId="1D5ECA5B" w14:textId="5459A92A" w:rsidR="00F25F13" w:rsidRPr="0072753B" w:rsidRDefault="00E32417" w:rsidP="0072753B">
            <w:pPr>
              <w:pStyle w:val="BodyText"/>
              <w:rPr>
                <w:rFonts w:asciiTheme="majorHAnsi" w:hAnsiTheme="majorHAnsi" w:cstheme="majorHAnsi"/>
                <w:bCs w:val="0"/>
                <w:szCs w:val="20"/>
              </w:rPr>
            </w:pPr>
            <w:r w:rsidRPr="0072753B">
              <w:rPr>
                <w:rFonts w:asciiTheme="majorHAnsi" w:hAnsiTheme="majorHAnsi" w:cstheme="majorHAnsi"/>
                <w:szCs w:val="20"/>
              </w:rPr>
              <w:t>Amplify-Invest-Reach (AIR) Partnership - Urgent Action Fund Asia and Pacific</w:t>
            </w:r>
          </w:p>
        </w:tc>
        <w:tc>
          <w:tcPr>
            <w:tcW w:w="1843" w:type="dxa"/>
          </w:tcPr>
          <w:p w14:paraId="5885BE3A" w14:textId="07F1C52A" w:rsidR="00F25F13" w:rsidRPr="0072753B" w:rsidRDefault="00B1739C"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1</w:t>
            </w:r>
          </w:p>
        </w:tc>
        <w:tc>
          <w:tcPr>
            <w:tcW w:w="2268" w:type="dxa"/>
            <w:shd w:val="clear" w:color="auto" w:fill="E7E6E6" w:themeFill="background2"/>
          </w:tcPr>
          <w:p w14:paraId="1DDFA79D" w14:textId="46E5717F" w:rsidR="00F25F13" w:rsidRPr="0072753B" w:rsidRDefault="00B1739C"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96" w:type="dxa"/>
            <w:shd w:val="clear" w:color="auto" w:fill="E7E6E6" w:themeFill="background2"/>
          </w:tcPr>
          <w:p w14:paraId="282E0522" w14:textId="75EDDF41" w:rsidR="00F25F13" w:rsidRPr="0072753B" w:rsidRDefault="00D65678" w:rsidP="0072753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p>
        </w:tc>
        <w:tc>
          <w:tcPr>
            <w:tcW w:w="3437" w:type="dxa"/>
          </w:tcPr>
          <w:p w14:paraId="0887ADB1" w14:textId="25811FD8" w:rsidR="00F25F13" w:rsidRPr="0072753B" w:rsidRDefault="001145FC"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$4,250,330</w:t>
            </w:r>
          </w:p>
        </w:tc>
      </w:tr>
      <w:tr w:rsidR="0066169E" w:rsidRPr="0072753B" w14:paraId="67B6E9C3"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Pr>
          <w:p w14:paraId="1E2A3F71" w14:textId="06CF55D1" w:rsidR="00B1739C" w:rsidRPr="0072753B" w:rsidDel="00FE47DD" w:rsidRDefault="00B1739C" w:rsidP="0072753B">
            <w:pPr>
              <w:pStyle w:val="BodyText"/>
              <w:rPr>
                <w:rFonts w:asciiTheme="majorHAnsi" w:hAnsiTheme="majorHAnsi" w:cstheme="majorHAnsi"/>
                <w:szCs w:val="20"/>
              </w:rPr>
            </w:pPr>
            <w:r w:rsidRPr="0072753B">
              <w:rPr>
                <w:rFonts w:asciiTheme="majorHAnsi" w:hAnsiTheme="majorHAnsi" w:cstheme="majorHAnsi"/>
                <w:szCs w:val="20"/>
              </w:rPr>
              <w:t xml:space="preserve">Urgent Action Fund </w:t>
            </w:r>
            <w:r w:rsidR="006D2389" w:rsidRPr="0072753B">
              <w:rPr>
                <w:rFonts w:asciiTheme="majorHAnsi" w:hAnsiTheme="majorHAnsi" w:cstheme="majorHAnsi"/>
                <w:szCs w:val="20"/>
              </w:rPr>
              <w:t>grants</w:t>
            </w:r>
          </w:p>
        </w:tc>
        <w:tc>
          <w:tcPr>
            <w:tcW w:w="1843" w:type="dxa"/>
          </w:tcPr>
          <w:p w14:paraId="55D0A5F8" w14:textId="27CD7D30" w:rsidR="00B1739C" w:rsidRPr="0072753B" w:rsidDel="00B1739C" w:rsidRDefault="00520B88"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13</w:t>
            </w:r>
          </w:p>
        </w:tc>
        <w:tc>
          <w:tcPr>
            <w:tcW w:w="2268" w:type="dxa"/>
            <w:shd w:val="clear" w:color="auto" w:fill="E7E6E6" w:themeFill="background2"/>
          </w:tcPr>
          <w:p w14:paraId="407C05B8" w14:textId="1A352D82" w:rsidR="00B1739C" w:rsidRPr="0072753B" w:rsidDel="00B1739C" w:rsidRDefault="00D63043"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4</w:t>
            </w:r>
          </w:p>
        </w:tc>
        <w:tc>
          <w:tcPr>
            <w:tcW w:w="2296" w:type="dxa"/>
            <w:shd w:val="clear" w:color="auto" w:fill="E7E6E6" w:themeFill="background2"/>
          </w:tcPr>
          <w:p w14:paraId="70F42986" w14:textId="2A2DFC99" w:rsidR="00B1739C" w:rsidRPr="0072753B" w:rsidRDefault="00D63043"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9</w:t>
            </w:r>
          </w:p>
        </w:tc>
        <w:tc>
          <w:tcPr>
            <w:tcW w:w="3437" w:type="dxa"/>
          </w:tcPr>
          <w:p w14:paraId="61E9F708" w14:textId="087500F5" w:rsidR="00B1739C" w:rsidRPr="0072753B" w:rsidRDefault="001F1885"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$86,170</w:t>
            </w:r>
          </w:p>
        </w:tc>
      </w:tr>
      <w:tr w:rsidR="00CC31CC" w:rsidRPr="0072753B" w14:paraId="1510EEBF"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3827" w:type="dxa"/>
          </w:tcPr>
          <w:p w14:paraId="43FF33D5" w14:textId="2CEF37D3" w:rsidR="00BB7BE3" w:rsidRPr="0072753B" w:rsidRDefault="00FD138E" w:rsidP="0072753B">
            <w:pPr>
              <w:pStyle w:val="BodyText"/>
              <w:rPr>
                <w:rFonts w:asciiTheme="majorHAnsi" w:hAnsiTheme="majorHAnsi" w:cstheme="majorHAnsi"/>
                <w:szCs w:val="20"/>
              </w:rPr>
            </w:pPr>
            <w:r w:rsidRPr="0072753B">
              <w:rPr>
                <w:rFonts w:asciiTheme="majorHAnsi" w:hAnsiTheme="majorHAnsi" w:cstheme="majorHAnsi"/>
                <w:szCs w:val="20"/>
              </w:rPr>
              <w:t>Amplify-Invest-Reach (AIR) Partnership - Pacific Feminist Fund</w:t>
            </w:r>
          </w:p>
        </w:tc>
        <w:tc>
          <w:tcPr>
            <w:tcW w:w="1843" w:type="dxa"/>
          </w:tcPr>
          <w:p w14:paraId="30745416" w14:textId="3AADBEAD" w:rsidR="00BB7BE3" w:rsidRPr="0072753B" w:rsidRDefault="0047462F"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68" w:type="dxa"/>
            <w:shd w:val="clear" w:color="auto" w:fill="E7E6E6" w:themeFill="background2"/>
          </w:tcPr>
          <w:p w14:paraId="79CAA46F" w14:textId="0FFBE4D5" w:rsidR="00BB7BE3" w:rsidRPr="0072753B" w:rsidRDefault="00131611"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96" w:type="dxa"/>
            <w:shd w:val="clear" w:color="auto" w:fill="E7E6E6" w:themeFill="background2"/>
          </w:tcPr>
          <w:p w14:paraId="6E132B5C" w14:textId="412C7D98" w:rsidR="00BB7BE3" w:rsidRPr="0072753B" w:rsidRDefault="00131611" w:rsidP="0072753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p>
        </w:tc>
        <w:tc>
          <w:tcPr>
            <w:tcW w:w="3437" w:type="dxa"/>
          </w:tcPr>
          <w:p w14:paraId="70735E22" w14:textId="3E1AE9AD" w:rsidR="00BB7BE3" w:rsidRPr="0072753B" w:rsidRDefault="007F6A4A"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$639,474</w:t>
            </w:r>
          </w:p>
        </w:tc>
      </w:tr>
      <w:tr w:rsidR="0066169E" w:rsidRPr="0072753B" w14:paraId="4D073E51"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Pr>
          <w:p w14:paraId="7E54B570" w14:textId="5A0D573E" w:rsidR="0047462F" w:rsidRPr="0072753B" w:rsidRDefault="00480A63" w:rsidP="0072753B">
            <w:pPr>
              <w:pStyle w:val="BodyText"/>
              <w:rPr>
                <w:rFonts w:asciiTheme="majorHAnsi" w:hAnsiTheme="majorHAnsi" w:cstheme="majorHAnsi"/>
                <w:szCs w:val="20"/>
              </w:rPr>
            </w:pPr>
            <w:r w:rsidRPr="0072753B">
              <w:rPr>
                <w:rFonts w:asciiTheme="majorHAnsi" w:hAnsiTheme="majorHAnsi" w:cstheme="majorHAnsi"/>
                <w:szCs w:val="20"/>
              </w:rPr>
              <w:t xml:space="preserve">Pacific Feminist Fund </w:t>
            </w:r>
            <w:r w:rsidR="006D2389" w:rsidRPr="0072753B">
              <w:rPr>
                <w:rFonts w:asciiTheme="majorHAnsi" w:hAnsiTheme="majorHAnsi" w:cstheme="majorHAnsi"/>
                <w:szCs w:val="20"/>
              </w:rPr>
              <w:t>grants</w:t>
            </w:r>
            <w:r w:rsidRPr="0072753B">
              <w:rPr>
                <w:rFonts w:asciiTheme="majorHAnsi" w:hAnsiTheme="majorHAnsi" w:cstheme="majorHAnsi"/>
                <w:szCs w:val="20"/>
              </w:rPr>
              <w:t xml:space="preserve"> </w:t>
            </w:r>
          </w:p>
        </w:tc>
        <w:tc>
          <w:tcPr>
            <w:tcW w:w="1843" w:type="dxa"/>
          </w:tcPr>
          <w:p w14:paraId="12C176DC" w14:textId="7F7C9C21" w:rsidR="0047462F" w:rsidRPr="0072753B" w:rsidRDefault="00E9333E"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7</w:t>
            </w:r>
          </w:p>
        </w:tc>
        <w:tc>
          <w:tcPr>
            <w:tcW w:w="2268" w:type="dxa"/>
            <w:shd w:val="clear" w:color="auto" w:fill="E7E6E6" w:themeFill="background2"/>
          </w:tcPr>
          <w:p w14:paraId="22F9A26D" w14:textId="728C6A92" w:rsidR="0047462F" w:rsidRPr="0072753B" w:rsidRDefault="006F4435"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5</w:t>
            </w:r>
          </w:p>
        </w:tc>
        <w:tc>
          <w:tcPr>
            <w:tcW w:w="2296" w:type="dxa"/>
            <w:shd w:val="clear" w:color="auto" w:fill="E7E6E6" w:themeFill="background2"/>
          </w:tcPr>
          <w:p w14:paraId="5DD8F488" w14:textId="0E10772B" w:rsidR="0047462F" w:rsidRPr="0072753B" w:rsidRDefault="006F4435"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w:t>
            </w:r>
          </w:p>
        </w:tc>
        <w:tc>
          <w:tcPr>
            <w:tcW w:w="3437" w:type="dxa"/>
          </w:tcPr>
          <w:p w14:paraId="6729E370" w14:textId="7A93308E" w:rsidR="0047462F" w:rsidRPr="0072753B" w:rsidRDefault="006F4435"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$531,375</w:t>
            </w:r>
          </w:p>
        </w:tc>
      </w:tr>
      <w:tr w:rsidR="00DF3317" w:rsidRPr="0072753B" w14:paraId="14862EA4" w14:textId="77777777" w:rsidTr="00FC5D25">
        <w:trPr>
          <w:trHeight w:val="300"/>
        </w:trPr>
        <w:tc>
          <w:tcPr>
            <w:cnfStyle w:val="001000000000" w:firstRow="0" w:lastRow="0" w:firstColumn="1" w:lastColumn="0" w:oddVBand="0" w:evenVBand="0" w:oddHBand="0" w:evenHBand="0" w:firstRowFirstColumn="0" w:firstRowLastColumn="0" w:lastRowFirstColumn="0" w:lastRowLastColumn="0"/>
            <w:tcW w:w="3827" w:type="dxa"/>
            <w:tcBorders>
              <w:bottom w:val="single" w:sz="4" w:space="0" w:color="auto"/>
            </w:tcBorders>
          </w:tcPr>
          <w:p w14:paraId="13BD3392" w14:textId="3CCF3D95" w:rsidR="00BF1CDC" w:rsidRPr="0072753B" w:rsidRDefault="00BF1CDC" w:rsidP="0072753B">
            <w:pPr>
              <w:pStyle w:val="BodyText"/>
              <w:rPr>
                <w:rFonts w:asciiTheme="majorHAnsi" w:hAnsiTheme="majorHAnsi" w:cstheme="majorHAnsi"/>
                <w:szCs w:val="20"/>
              </w:rPr>
            </w:pPr>
            <w:r w:rsidRPr="0072753B">
              <w:rPr>
                <w:rFonts w:asciiTheme="majorHAnsi" w:hAnsiTheme="majorHAnsi" w:cstheme="majorHAnsi"/>
                <w:szCs w:val="20"/>
              </w:rPr>
              <w:t xml:space="preserve">DFAT </w:t>
            </w:r>
            <w:r w:rsidR="00F06160" w:rsidRPr="0072753B">
              <w:rPr>
                <w:rFonts w:asciiTheme="majorHAnsi" w:hAnsiTheme="majorHAnsi" w:cstheme="majorHAnsi"/>
                <w:szCs w:val="20"/>
              </w:rPr>
              <w:t>regional grants</w:t>
            </w:r>
            <w:r w:rsidR="00232366" w:rsidRPr="0072753B">
              <w:rPr>
                <w:rFonts w:asciiTheme="majorHAnsi" w:hAnsiTheme="majorHAnsi" w:cstheme="majorHAnsi"/>
                <w:szCs w:val="20"/>
              </w:rPr>
              <w:t xml:space="preserve"> </w:t>
            </w:r>
          </w:p>
        </w:tc>
        <w:tc>
          <w:tcPr>
            <w:tcW w:w="1843" w:type="dxa"/>
            <w:tcBorders>
              <w:bottom w:val="single" w:sz="4" w:space="0" w:color="auto"/>
            </w:tcBorders>
          </w:tcPr>
          <w:p w14:paraId="5C701811" w14:textId="11AABD5A" w:rsidR="00BC038F" w:rsidRPr="0072753B" w:rsidRDefault="00DE3EFF"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24</w:t>
            </w:r>
          </w:p>
        </w:tc>
        <w:tc>
          <w:tcPr>
            <w:tcW w:w="2268" w:type="dxa"/>
            <w:tcBorders>
              <w:bottom w:val="single" w:sz="4" w:space="0" w:color="auto"/>
            </w:tcBorders>
            <w:shd w:val="clear" w:color="auto" w:fill="E7E6E6" w:themeFill="background2"/>
          </w:tcPr>
          <w:p w14:paraId="53582E93" w14:textId="53E1BF60" w:rsidR="00BF1CDC" w:rsidRPr="0072753B" w:rsidRDefault="003C10EE"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2</w:t>
            </w:r>
            <w:r w:rsidR="00B45041" w:rsidRPr="0072753B">
              <w:rPr>
                <w:rFonts w:asciiTheme="majorHAnsi" w:hAnsiTheme="majorHAnsi" w:cstheme="majorHAnsi"/>
                <w:szCs w:val="20"/>
              </w:rPr>
              <w:t>1</w:t>
            </w:r>
          </w:p>
        </w:tc>
        <w:tc>
          <w:tcPr>
            <w:tcW w:w="2296" w:type="dxa"/>
            <w:tcBorders>
              <w:bottom w:val="single" w:sz="4" w:space="0" w:color="auto"/>
            </w:tcBorders>
            <w:shd w:val="clear" w:color="auto" w:fill="E7E6E6" w:themeFill="background2"/>
          </w:tcPr>
          <w:p w14:paraId="78FF948A" w14:textId="6B00E06C" w:rsidR="00BF1CDC" w:rsidRPr="0072753B" w:rsidRDefault="00DD03E0" w:rsidP="0072753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3</w:t>
            </w:r>
          </w:p>
        </w:tc>
        <w:tc>
          <w:tcPr>
            <w:tcW w:w="3437" w:type="dxa"/>
            <w:tcBorders>
              <w:bottom w:val="single" w:sz="4" w:space="0" w:color="auto"/>
            </w:tcBorders>
          </w:tcPr>
          <w:p w14:paraId="7FF27BD9" w14:textId="4A0E96F0" w:rsidR="00BF1CDC" w:rsidRPr="0072753B" w:rsidRDefault="004A2FB8"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r w:rsidR="00156FAA" w:rsidRPr="0072753B">
              <w:rPr>
                <w:rFonts w:asciiTheme="majorHAnsi" w:hAnsiTheme="majorHAnsi" w:cstheme="majorHAnsi"/>
                <w:szCs w:val="20"/>
              </w:rPr>
              <w:t>143,576,721</w:t>
            </w:r>
          </w:p>
        </w:tc>
      </w:tr>
      <w:tr w:rsidR="00232366" w:rsidRPr="0072753B" w14:paraId="755C1F56"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auto"/>
              <w:bottom w:val="single" w:sz="4" w:space="0" w:color="auto"/>
            </w:tcBorders>
          </w:tcPr>
          <w:p w14:paraId="7F4B00D4" w14:textId="4B214196" w:rsidR="00232366" w:rsidRPr="0072753B" w:rsidRDefault="00281E3F" w:rsidP="0072753B">
            <w:pPr>
              <w:pStyle w:val="BodyText"/>
              <w:rPr>
                <w:rFonts w:asciiTheme="majorHAnsi" w:hAnsiTheme="majorHAnsi" w:cstheme="majorHAnsi"/>
                <w:szCs w:val="20"/>
              </w:rPr>
            </w:pPr>
            <w:r w:rsidRPr="0072753B">
              <w:rPr>
                <w:rFonts w:asciiTheme="majorHAnsi" w:hAnsiTheme="majorHAnsi" w:cstheme="majorHAnsi"/>
                <w:szCs w:val="20"/>
              </w:rPr>
              <w:t>DFAT regional r</w:t>
            </w:r>
            <w:r w:rsidR="00232366" w:rsidRPr="0072753B">
              <w:rPr>
                <w:rFonts w:asciiTheme="majorHAnsi" w:hAnsiTheme="majorHAnsi" w:cstheme="majorHAnsi"/>
                <w:szCs w:val="20"/>
              </w:rPr>
              <w:t xml:space="preserve">esearch </w:t>
            </w:r>
            <w:r w:rsidR="00BE1287" w:rsidRPr="0072753B">
              <w:rPr>
                <w:rFonts w:asciiTheme="majorHAnsi" w:hAnsiTheme="majorHAnsi" w:cstheme="majorHAnsi"/>
                <w:szCs w:val="20"/>
              </w:rPr>
              <w:t xml:space="preserve">grants </w:t>
            </w:r>
          </w:p>
        </w:tc>
        <w:tc>
          <w:tcPr>
            <w:tcW w:w="1843" w:type="dxa"/>
            <w:tcBorders>
              <w:top w:val="single" w:sz="4" w:space="0" w:color="auto"/>
              <w:bottom w:val="single" w:sz="4" w:space="0" w:color="auto"/>
            </w:tcBorders>
          </w:tcPr>
          <w:p w14:paraId="7B6BBED9" w14:textId="1D64631C" w:rsidR="00232366" w:rsidRPr="0072753B" w:rsidRDefault="0065581B"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4</w:t>
            </w:r>
          </w:p>
        </w:tc>
        <w:tc>
          <w:tcPr>
            <w:tcW w:w="2268" w:type="dxa"/>
            <w:tcBorders>
              <w:top w:val="single" w:sz="4" w:space="0" w:color="auto"/>
              <w:bottom w:val="single" w:sz="4" w:space="0" w:color="auto"/>
            </w:tcBorders>
            <w:shd w:val="clear" w:color="auto" w:fill="E7E6E6" w:themeFill="background2"/>
          </w:tcPr>
          <w:p w14:paraId="6F858915" w14:textId="27C04924" w:rsidR="00232366" w:rsidRPr="0072753B" w:rsidRDefault="00281E3F"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2296" w:type="dxa"/>
            <w:tcBorders>
              <w:top w:val="single" w:sz="4" w:space="0" w:color="auto"/>
              <w:bottom w:val="single" w:sz="4" w:space="0" w:color="auto"/>
            </w:tcBorders>
            <w:shd w:val="clear" w:color="auto" w:fill="E7E6E6" w:themeFill="background2"/>
          </w:tcPr>
          <w:p w14:paraId="70E8ED60" w14:textId="01312387" w:rsidR="00232366" w:rsidRPr="0072753B" w:rsidRDefault="00232366"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3</w:t>
            </w:r>
          </w:p>
        </w:tc>
        <w:tc>
          <w:tcPr>
            <w:tcW w:w="3437" w:type="dxa"/>
            <w:tcBorders>
              <w:top w:val="single" w:sz="4" w:space="0" w:color="auto"/>
              <w:bottom w:val="single" w:sz="4" w:space="0" w:color="auto"/>
            </w:tcBorders>
          </w:tcPr>
          <w:p w14:paraId="32E77ABB" w14:textId="3B3D3EF5" w:rsidR="00232366" w:rsidRPr="0072753B" w:rsidRDefault="00114E33"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r w:rsidR="00F85AD5" w:rsidRPr="0072753B">
              <w:rPr>
                <w:rFonts w:asciiTheme="majorHAnsi" w:hAnsiTheme="majorHAnsi" w:cstheme="majorHAnsi"/>
                <w:szCs w:val="20"/>
              </w:rPr>
              <w:t>16,039,421</w:t>
            </w:r>
          </w:p>
        </w:tc>
      </w:tr>
      <w:tr w:rsidR="00FB7171" w:rsidRPr="0072753B" w14:paraId="1D0B4551"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auto"/>
              <w:bottom w:val="single" w:sz="4" w:space="0" w:color="auto"/>
            </w:tcBorders>
          </w:tcPr>
          <w:p w14:paraId="7AB81853" w14:textId="4DBFD401" w:rsidR="00BF1CDC" w:rsidRPr="0072753B" w:rsidRDefault="00BF1CDC" w:rsidP="0072753B">
            <w:pPr>
              <w:pStyle w:val="BodyText"/>
              <w:rPr>
                <w:rFonts w:asciiTheme="majorHAnsi" w:hAnsiTheme="majorHAnsi" w:cstheme="majorHAnsi"/>
                <w:szCs w:val="20"/>
              </w:rPr>
            </w:pPr>
            <w:r w:rsidRPr="0072753B">
              <w:rPr>
                <w:rFonts w:asciiTheme="majorHAnsi" w:hAnsiTheme="majorHAnsi" w:cstheme="majorHAnsi"/>
                <w:szCs w:val="20"/>
              </w:rPr>
              <w:t xml:space="preserve">PWLES </w:t>
            </w:r>
            <w:r w:rsidR="006D2389" w:rsidRPr="0072753B">
              <w:rPr>
                <w:rFonts w:asciiTheme="majorHAnsi" w:hAnsiTheme="majorHAnsi" w:cstheme="majorHAnsi"/>
                <w:szCs w:val="20"/>
              </w:rPr>
              <w:t xml:space="preserve">grants </w:t>
            </w:r>
            <w:r w:rsidR="007337EA" w:rsidRPr="0072753B">
              <w:rPr>
                <w:rFonts w:asciiTheme="majorHAnsi" w:hAnsiTheme="majorHAnsi" w:cstheme="majorHAnsi"/>
                <w:szCs w:val="20"/>
              </w:rPr>
              <w:t>and Technical Advisers</w:t>
            </w:r>
          </w:p>
        </w:tc>
        <w:tc>
          <w:tcPr>
            <w:tcW w:w="1843" w:type="dxa"/>
            <w:tcBorders>
              <w:top w:val="single" w:sz="4" w:space="0" w:color="auto"/>
              <w:bottom w:val="single" w:sz="4" w:space="0" w:color="auto"/>
            </w:tcBorders>
          </w:tcPr>
          <w:p w14:paraId="038A24B0" w14:textId="2AC28FF7" w:rsidR="00BF1CDC" w:rsidRPr="0072753B" w:rsidRDefault="005A28E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2</w:t>
            </w:r>
          </w:p>
        </w:tc>
        <w:tc>
          <w:tcPr>
            <w:tcW w:w="2268" w:type="dxa"/>
            <w:tcBorders>
              <w:top w:val="single" w:sz="4" w:space="0" w:color="auto"/>
              <w:bottom w:val="single" w:sz="4" w:space="0" w:color="auto"/>
            </w:tcBorders>
            <w:shd w:val="clear" w:color="auto" w:fill="E7E6E6" w:themeFill="background2"/>
          </w:tcPr>
          <w:p w14:paraId="65AE2337" w14:textId="4365D25E" w:rsidR="00BF1CDC" w:rsidRPr="0072753B" w:rsidRDefault="005A28E2"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 1</w:t>
            </w:r>
          </w:p>
        </w:tc>
        <w:tc>
          <w:tcPr>
            <w:tcW w:w="2296" w:type="dxa"/>
            <w:tcBorders>
              <w:top w:val="single" w:sz="4" w:space="0" w:color="auto"/>
              <w:bottom w:val="single" w:sz="4" w:space="0" w:color="auto"/>
            </w:tcBorders>
            <w:shd w:val="clear" w:color="auto" w:fill="E7E6E6" w:themeFill="background2"/>
          </w:tcPr>
          <w:p w14:paraId="6489E66C" w14:textId="46C1F913" w:rsidR="00BF1CDC" w:rsidRPr="0072753B" w:rsidRDefault="007337EA" w:rsidP="0072753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1</w:t>
            </w:r>
          </w:p>
        </w:tc>
        <w:tc>
          <w:tcPr>
            <w:tcW w:w="3437" w:type="dxa"/>
            <w:tcBorders>
              <w:top w:val="single" w:sz="4" w:space="0" w:color="auto"/>
              <w:bottom w:val="single" w:sz="4" w:space="0" w:color="auto"/>
            </w:tcBorders>
          </w:tcPr>
          <w:p w14:paraId="1959973A" w14:textId="23299D8A" w:rsidR="005A28E2" w:rsidRPr="0072753B" w:rsidRDefault="005A28E2" w:rsidP="0072753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highlight w:val="yellow"/>
              </w:rPr>
            </w:pPr>
            <w:r w:rsidRPr="0072753B">
              <w:rPr>
                <w:rFonts w:asciiTheme="majorHAnsi" w:hAnsiTheme="majorHAnsi" w:cstheme="majorHAnsi"/>
                <w:szCs w:val="20"/>
              </w:rPr>
              <w:t>$14,837,698</w:t>
            </w:r>
          </w:p>
        </w:tc>
      </w:tr>
      <w:tr w:rsidR="00702AB5" w:rsidRPr="0072753B" w14:paraId="3E87C8D0"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auto"/>
            </w:tcBorders>
          </w:tcPr>
          <w:p w14:paraId="546F0592" w14:textId="77777777" w:rsidR="00BF1CDC" w:rsidRPr="0072753B" w:rsidRDefault="00BF1CDC" w:rsidP="0072753B">
            <w:pPr>
              <w:pStyle w:val="BodyText"/>
              <w:rPr>
                <w:rFonts w:asciiTheme="majorHAnsi" w:hAnsiTheme="majorHAnsi" w:cstheme="majorHAnsi"/>
                <w:b/>
                <w:szCs w:val="20"/>
              </w:rPr>
            </w:pPr>
            <w:r w:rsidRPr="0072753B">
              <w:rPr>
                <w:rFonts w:asciiTheme="majorHAnsi" w:hAnsiTheme="majorHAnsi" w:cstheme="majorHAnsi"/>
                <w:b/>
                <w:szCs w:val="20"/>
              </w:rPr>
              <w:t xml:space="preserve">Total </w:t>
            </w:r>
          </w:p>
        </w:tc>
        <w:tc>
          <w:tcPr>
            <w:tcW w:w="1843" w:type="dxa"/>
            <w:tcBorders>
              <w:top w:val="single" w:sz="4" w:space="0" w:color="auto"/>
            </w:tcBorders>
          </w:tcPr>
          <w:p w14:paraId="4235A761" w14:textId="0B187A65" w:rsidR="00797C65" w:rsidRPr="0072753B" w:rsidRDefault="00B14597"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72753B">
              <w:rPr>
                <w:rFonts w:asciiTheme="majorHAnsi" w:hAnsiTheme="majorHAnsi" w:cstheme="majorHAnsi"/>
                <w:b/>
                <w:bCs/>
                <w:szCs w:val="20"/>
              </w:rPr>
              <w:t>95</w:t>
            </w:r>
          </w:p>
        </w:tc>
        <w:tc>
          <w:tcPr>
            <w:tcW w:w="2268" w:type="dxa"/>
            <w:tcBorders>
              <w:top w:val="single" w:sz="4" w:space="0" w:color="auto"/>
            </w:tcBorders>
            <w:shd w:val="clear" w:color="auto" w:fill="E7E6E6" w:themeFill="background2"/>
          </w:tcPr>
          <w:p w14:paraId="1F62F8F3" w14:textId="451C3C2C" w:rsidR="000D41B7" w:rsidRPr="0072753B" w:rsidRDefault="0070222F"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72753B">
              <w:rPr>
                <w:rFonts w:asciiTheme="majorHAnsi" w:hAnsiTheme="majorHAnsi" w:cstheme="majorHAnsi"/>
                <w:b/>
                <w:bCs/>
                <w:szCs w:val="20"/>
              </w:rPr>
              <w:t>73</w:t>
            </w:r>
          </w:p>
        </w:tc>
        <w:tc>
          <w:tcPr>
            <w:tcW w:w="2296" w:type="dxa"/>
            <w:tcBorders>
              <w:top w:val="single" w:sz="4" w:space="0" w:color="auto"/>
            </w:tcBorders>
            <w:shd w:val="clear" w:color="auto" w:fill="E7E6E6" w:themeFill="background2"/>
          </w:tcPr>
          <w:p w14:paraId="32F54B69" w14:textId="673D48C3" w:rsidR="009952E4" w:rsidRPr="0072753B" w:rsidRDefault="00CA6E7B" w:rsidP="0072753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72753B">
              <w:rPr>
                <w:rFonts w:asciiTheme="majorHAnsi" w:hAnsiTheme="majorHAnsi" w:cstheme="majorHAnsi"/>
                <w:b/>
                <w:bCs/>
                <w:szCs w:val="20"/>
              </w:rPr>
              <w:t>22</w:t>
            </w:r>
          </w:p>
        </w:tc>
        <w:tc>
          <w:tcPr>
            <w:tcW w:w="3437" w:type="dxa"/>
            <w:tcBorders>
              <w:top w:val="single" w:sz="4" w:space="0" w:color="auto"/>
            </w:tcBorders>
          </w:tcPr>
          <w:p w14:paraId="075AB96A" w14:textId="4264E085" w:rsidR="00644942" w:rsidRPr="0072753B" w:rsidRDefault="002B0B94" w:rsidP="0072753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72753B">
              <w:rPr>
                <w:rFonts w:asciiTheme="majorHAnsi" w:hAnsiTheme="majorHAnsi" w:cstheme="majorHAnsi"/>
                <w:b/>
                <w:bCs/>
                <w:szCs w:val="20"/>
              </w:rPr>
              <w:t>$</w:t>
            </w:r>
            <w:r w:rsidR="0052312B" w:rsidRPr="0072753B">
              <w:rPr>
                <w:rFonts w:asciiTheme="majorHAnsi" w:hAnsiTheme="majorHAnsi" w:cstheme="majorHAnsi"/>
                <w:b/>
                <w:bCs/>
                <w:szCs w:val="20"/>
              </w:rPr>
              <w:t>219,153,873</w:t>
            </w:r>
          </w:p>
        </w:tc>
      </w:tr>
    </w:tbl>
    <w:p w14:paraId="20075B90" w14:textId="44B12287" w:rsidR="00BF1CDC" w:rsidRPr="0072753B" w:rsidRDefault="00112A67" w:rsidP="0072753B">
      <w:pPr>
        <w:pStyle w:val="Heading2"/>
        <w:rPr>
          <w:rFonts w:asciiTheme="majorHAnsi" w:hAnsiTheme="majorHAnsi"/>
        </w:rPr>
      </w:pPr>
      <w:bookmarkStart w:id="13" w:name="_Toc207912567"/>
      <w:bookmarkStart w:id="14" w:name="_Toc208777783"/>
      <w:r w:rsidRPr="0072753B">
        <w:rPr>
          <w:rFonts w:asciiTheme="majorHAnsi" w:hAnsiTheme="majorHAnsi"/>
        </w:rPr>
        <w:t>The Pacific Community (SPC)</w:t>
      </w:r>
      <w:bookmarkEnd w:id="13"/>
      <w:bookmarkEnd w:id="14"/>
      <w:r w:rsidR="00BF1CDC" w:rsidRPr="0072753B">
        <w:rPr>
          <w:rFonts w:asciiTheme="majorHAnsi" w:hAnsiTheme="majorHAnsi"/>
        </w:rPr>
        <w:t xml:space="preserve"> </w:t>
      </w:r>
    </w:p>
    <w:p w14:paraId="55507176" w14:textId="28C6FE82" w:rsidR="00BF1CDC" w:rsidRPr="0072753B" w:rsidRDefault="00BF1CDC" w:rsidP="0072753B">
      <w:pPr>
        <w:pStyle w:val="BodyText"/>
        <w:spacing w:after="360"/>
        <w:rPr>
          <w:rFonts w:asciiTheme="majorHAnsi" w:hAnsiTheme="majorHAnsi" w:cstheme="majorHAnsi"/>
          <w:szCs w:val="20"/>
        </w:rPr>
      </w:pPr>
      <w:r w:rsidRPr="0072753B">
        <w:rPr>
          <w:rFonts w:asciiTheme="majorHAnsi" w:hAnsiTheme="majorHAnsi" w:cstheme="majorHAnsi"/>
          <w:szCs w:val="20"/>
        </w:rPr>
        <w:t xml:space="preserve">The Pacific Community (SPC) is a distinct implementing partner of PWL and has a grant agreement with DFAT Canberra, valued at AUD57,600,000. From this total value, SPC provides technical support to Pacific governments, hosts and supports regional convenings and </w:t>
      </w:r>
      <w:r w:rsidR="0037199B" w:rsidRPr="0072753B">
        <w:rPr>
          <w:rFonts w:asciiTheme="majorHAnsi" w:hAnsiTheme="majorHAnsi" w:cstheme="majorHAnsi"/>
          <w:szCs w:val="20"/>
        </w:rPr>
        <w:t xml:space="preserve">disburses </w:t>
      </w:r>
      <w:r w:rsidRPr="0072753B">
        <w:rPr>
          <w:rFonts w:asciiTheme="majorHAnsi" w:hAnsiTheme="majorHAnsi" w:cstheme="majorHAnsi"/>
          <w:szCs w:val="20"/>
        </w:rPr>
        <w:t xml:space="preserve">a grants program for </w:t>
      </w:r>
      <w:r w:rsidR="0037199B" w:rsidRPr="0072753B">
        <w:rPr>
          <w:rFonts w:asciiTheme="majorHAnsi" w:hAnsiTheme="majorHAnsi" w:cstheme="majorHAnsi"/>
          <w:szCs w:val="20"/>
        </w:rPr>
        <w:t>its</w:t>
      </w:r>
      <w:r w:rsidRPr="0072753B">
        <w:rPr>
          <w:rFonts w:asciiTheme="majorHAnsi" w:hAnsiTheme="majorHAnsi" w:cstheme="majorHAnsi"/>
          <w:szCs w:val="20"/>
        </w:rPr>
        <w:t xml:space="preserve"> government partners and </w:t>
      </w:r>
      <w:r w:rsidR="0037199B" w:rsidRPr="0072753B">
        <w:rPr>
          <w:rFonts w:asciiTheme="majorHAnsi" w:hAnsiTheme="majorHAnsi" w:cstheme="majorHAnsi"/>
          <w:szCs w:val="20"/>
        </w:rPr>
        <w:t>civil society across</w:t>
      </w:r>
      <w:r w:rsidRPr="0072753B">
        <w:rPr>
          <w:rFonts w:asciiTheme="majorHAnsi" w:hAnsiTheme="majorHAnsi" w:cstheme="majorHAnsi"/>
          <w:szCs w:val="20"/>
        </w:rPr>
        <w:t xml:space="preserve"> the Pacific. </w:t>
      </w:r>
    </w:p>
    <w:p w14:paraId="78D2003F" w14:textId="6D1B0653" w:rsidR="00C15A7E" w:rsidRPr="0072753B" w:rsidRDefault="00CB4F7F" w:rsidP="0072753B">
      <w:pPr>
        <w:pStyle w:val="BodyText"/>
        <w:spacing w:after="360"/>
        <w:rPr>
          <w:rFonts w:asciiTheme="majorHAnsi" w:hAnsiTheme="majorHAnsi" w:cstheme="majorHAnsi"/>
          <w:szCs w:val="20"/>
        </w:rPr>
      </w:pPr>
      <w:r w:rsidRPr="0072753B">
        <w:rPr>
          <w:rFonts w:asciiTheme="majorHAnsi" w:hAnsiTheme="majorHAnsi" w:cstheme="majorHAnsi"/>
          <w:szCs w:val="20"/>
        </w:rPr>
        <w:t xml:space="preserve">SPC funds </w:t>
      </w:r>
      <w:r w:rsidR="00E33BC8" w:rsidRPr="0072753B">
        <w:rPr>
          <w:rFonts w:asciiTheme="majorHAnsi" w:hAnsiTheme="majorHAnsi" w:cstheme="majorHAnsi"/>
          <w:szCs w:val="20"/>
        </w:rPr>
        <w:t>3</w:t>
      </w:r>
      <w:r w:rsidR="00F916E8" w:rsidRPr="0072753B">
        <w:rPr>
          <w:rFonts w:asciiTheme="majorHAnsi" w:hAnsiTheme="majorHAnsi" w:cstheme="majorHAnsi"/>
          <w:szCs w:val="20"/>
        </w:rPr>
        <w:t>5</w:t>
      </w:r>
      <w:r w:rsidR="00CB6AF0" w:rsidRPr="0072753B" w:rsidDel="001C6964">
        <w:rPr>
          <w:rFonts w:asciiTheme="majorHAnsi" w:hAnsiTheme="majorHAnsi" w:cstheme="majorHAnsi"/>
          <w:szCs w:val="20"/>
        </w:rPr>
        <w:t xml:space="preserve"> </w:t>
      </w:r>
      <w:r w:rsidR="00CB6AF0" w:rsidRPr="0072753B">
        <w:rPr>
          <w:rFonts w:asciiTheme="majorHAnsi" w:hAnsiTheme="majorHAnsi" w:cstheme="majorHAnsi"/>
          <w:szCs w:val="20"/>
        </w:rPr>
        <w:t>downstream</w:t>
      </w:r>
      <w:r w:rsidRPr="0072753B">
        <w:rPr>
          <w:rFonts w:asciiTheme="majorHAnsi" w:hAnsiTheme="majorHAnsi" w:cstheme="majorHAnsi"/>
          <w:szCs w:val="20"/>
        </w:rPr>
        <w:t xml:space="preserve"> implementing partners to </w:t>
      </w:r>
      <w:r w:rsidR="00CB6AF0" w:rsidRPr="0072753B">
        <w:rPr>
          <w:rFonts w:asciiTheme="majorHAnsi" w:hAnsiTheme="majorHAnsi" w:cstheme="majorHAnsi"/>
          <w:szCs w:val="20"/>
        </w:rPr>
        <w:t>imple</w:t>
      </w:r>
      <w:r w:rsidR="00EA2EFA" w:rsidRPr="0072753B">
        <w:rPr>
          <w:rFonts w:asciiTheme="majorHAnsi" w:hAnsiTheme="majorHAnsi" w:cstheme="majorHAnsi"/>
          <w:szCs w:val="20"/>
        </w:rPr>
        <w:t xml:space="preserve">ment </w:t>
      </w:r>
      <w:r w:rsidR="00C47C8E" w:rsidRPr="0072753B">
        <w:rPr>
          <w:rFonts w:asciiTheme="majorHAnsi" w:hAnsiTheme="majorHAnsi" w:cstheme="majorHAnsi"/>
          <w:szCs w:val="20"/>
        </w:rPr>
        <w:t>39</w:t>
      </w:r>
      <w:r w:rsidR="00E33BC8" w:rsidRPr="0072753B">
        <w:rPr>
          <w:rFonts w:asciiTheme="majorHAnsi" w:hAnsiTheme="majorHAnsi" w:cstheme="majorHAnsi"/>
          <w:szCs w:val="20"/>
        </w:rPr>
        <w:t xml:space="preserve"> </w:t>
      </w:r>
      <w:r w:rsidR="00EA2EFA" w:rsidRPr="0072753B">
        <w:rPr>
          <w:rFonts w:asciiTheme="majorHAnsi" w:hAnsiTheme="majorHAnsi" w:cstheme="majorHAnsi"/>
          <w:szCs w:val="20"/>
        </w:rPr>
        <w:t>projects across the Pacific</w:t>
      </w:r>
      <w:r w:rsidR="00391BB1" w:rsidRPr="0072753B">
        <w:rPr>
          <w:rFonts w:asciiTheme="majorHAnsi" w:hAnsiTheme="majorHAnsi" w:cstheme="majorHAnsi"/>
          <w:szCs w:val="20"/>
        </w:rPr>
        <w:t xml:space="preserve"> </w:t>
      </w:r>
      <w:r w:rsidR="00391BB1" w:rsidRPr="0072753B">
        <w:rPr>
          <w:rFonts w:asciiTheme="majorHAnsi" w:hAnsiTheme="majorHAnsi" w:cstheme="majorHAnsi"/>
          <w:i/>
          <w:iCs/>
          <w:szCs w:val="20"/>
        </w:rPr>
        <w:t>(Table 3)</w:t>
      </w:r>
      <w:r w:rsidR="00EA2EFA" w:rsidRPr="0072753B">
        <w:rPr>
          <w:rFonts w:asciiTheme="majorHAnsi" w:hAnsiTheme="majorHAnsi" w:cstheme="majorHAnsi"/>
          <w:szCs w:val="20"/>
        </w:rPr>
        <w:t>.</w:t>
      </w:r>
      <w:r w:rsidR="00245A39" w:rsidRPr="0072753B">
        <w:rPr>
          <w:rFonts w:asciiTheme="majorHAnsi" w:hAnsiTheme="majorHAnsi" w:cstheme="majorHAnsi"/>
          <w:szCs w:val="20"/>
        </w:rPr>
        <w:t xml:space="preserve"> Of these 3</w:t>
      </w:r>
      <w:r w:rsidR="00C47C8E" w:rsidRPr="0072753B">
        <w:rPr>
          <w:rFonts w:asciiTheme="majorHAnsi" w:hAnsiTheme="majorHAnsi" w:cstheme="majorHAnsi"/>
          <w:szCs w:val="20"/>
        </w:rPr>
        <w:t>5</w:t>
      </w:r>
      <w:r w:rsidR="00245A39" w:rsidRPr="0072753B">
        <w:rPr>
          <w:rFonts w:asciiTheme="majorHAnsi" w:hAnsiTheme="majorHAnsi" w:cstheme="majorHAnsi"/>
          <w:szCs w:val="20"/>
        </w:rPr>
        <w:t xml:space="preserve"> are ongoing and </w:t>
      </w:r>
      <w:r w:rsidR="00C47C8E" w:rsidRPr="0072753B">
        <w:rPr>
          <w:rFonts w:asciiTheme="majorHAnsi" w:hAnsiTheme="majorHAnsi" w:cstheme="majorHAnsi"/>
          <w:szCs w:val="20"/>
        </w:rPr>
        <w:t xml:space="preserve">4 </w:t>
      </w:r>
      <w:r w:rsidR="00245A39" w:rsidRPr="0072753B">
        <w:rPr>
          <w:rFonts w:asciiTheme="majorHAnsi" w:hAnsiTheme="majorHAnsi" w:cstheme="majorHAnsi"/>
          <w:szCs w:val="20"/>
        </w:rPr>
        <w:t>has been completed.</w:t>
      </w:r>
      <w:r w:rsidR="00EA2EFA" w:rsidRPr="0072753B">
        <w:rPr>
          <w:rFonts w:asciiTheme="majorHAnsi" w:hAnsiTheme="majorHAnsi" w:cstheme="majorHAnsi"/>
          <w:szCs w:val="20"/>
        </w:rPr>
        <w:t xml:space="preserve"> Funding to these </w:t>
      </w:r>
      <w:r w:rsidR="00C15A7E" w:rsidRPr="0072753B">
        <w:rPr>
          <w:rFonts w:asciiTheme="majorHAnsi" w:hAnsiTheme="majorHAnsi" w:cstheme="majorHAnsi"/>
          <w:szCs w:val="20"/>
        </w:rPr>
        <w:t xml:space="preserve">downstream implementing partners comes </w:t>
      </w:r>
      <w:r w:rsidR="0037199B" w:rsidRPr="0072753B">
        <w:rPr>
          <w:rFonts w:asciiTheme="majorHAnsi" w:hAnsiTheme="majorHAnsi" w:cstheme="majorHAnsi"/>
          <w:szCs w:val="20"/>
        </w:rPr>
        <w:t xml:space="preserve">from </w:t>
      </w:r>
      <w:r w:rsidR="00C15A7E" w:rsidRPr="0072753B">
        <w:rPr>
          <w:rFonts w:asciiTheme="majorHAnsi" w:hAnsiTheme="majorHAnsi" w:cstheme="majorHAnsi"/>
          <w:szCs w:val="20"/>
        </w:rPr>
        <w:t xml:space="preserve">SPC’s </w:t>
      </w:r>
      <w:r w:rsidR="006A7091" w:rsidRPr="0072753B">
        <w:rPr>
          <w:rFonts w:asciiTheme="majorHAnsi" w:hAnsiTheme="majorHAnsi" w:cstheme="majorHAnsi"/>
          <w:szCs w:val="20"/>
        </w:rPr>
        <w:t xml:space="preserve">AUD 57,600,000 budget. The remainder of </w:t>
      </w:r>
      <w:r w:rsidR="007D5FDE" w:rsidRPr="0072753B">
        <w:rPr>
          <w:rFonts w:asciiTheme="majorHAnsi" w:hAnsiTheme="majorHAnsi" w:cstheme="majorHAnsi"/>
          <w:szCs w:val="20"/>
        </w:rPr>
        <w:t xml:space="preserve">PWL at SPC’s budget </w:t>
      </w:r>
      <w:r w:rsidR="007D5FDE" w:rsidRPr="0072753B">
        <w:rPr>
          <w:rFonts w:asciiTheme="majorHAnsi" w:hAnsiTheme="majorHAnsi" w:cstheme="majorHAnsi"/>
          <w:i/>
          <w:iCs/>
          <w:szCs w:val="20"/>
        </w:rPr>
        <w:t>(Table 2)</w:t>
      </w:r>
      <w:r w:rsidR="007D5FDE" w:rsidRPr="0072753B">
        <w:rPr>
          <w:rFonts w:asciiTheme="majorHAnsi" w:hAnsiTheme="majorHAnsi" w:cstheme="majorHAnsi"/>
          <w:szCs w:val="20"/>
        </w:rPr>
        <w:t xml:space="preserve"> </w:t>
      </w:r>
      <w:r w:rsidR="00BB7F10" w:rsidRPr="0072753B">
        <w:rPr>
          <w:rFonts w:asciiTheme="majorHAnsi" w:hAnsiTheme="majorHAnsi" w:cstheme="majorHAnsi"/>
          <w:szCs w:val="20"/>
        </w:rPr>
        <w:t>supports SPC’s key regional commitments</w:t>
      </w:r>
      <w:r w:rsidR="00B164A3" w:rsidRPr="0072753B">
        <w:rPr>
          <w:rFonts w:asciiTheme="majorHAnsi" w:hAnsiTheme="majorHAnsi" w:cstheme="majorHAnsi"/>
          <w:szCs w:val="20"/>
        </w:rPr>
        <w:t xml:space="preserve">, such as regional convening and Pacific Girl. </w:t>
      </w:r>
      <w:r w:rsidR="00BB7F10" w:rsidRPr="0072753B">
        <w:rPr>
          <w:rFonts w:asciiTheme="majorHAnsi" w:hAnsiTheme="majorHAnsi" w:cstheme="majorHAnsi"/>
          <w:szCs w:val="20"/>
        </w:rPr>
        <w:t xml:space="preserve"> </w:t>
      </w:r>
    </w:p>
    <w:p w14:paraId="509FF2E8" w14:textId="7956AAFD" w:rsidR="00CB4F7F" w:rsidRPr="0072753B" w:rsidRDefault="00CB4F7F" w:rsidP="0072753B">
      <w:pPr>
        <w:pStyle w:val="Caption"/>
        <w:ind w:left="0" w:firstLine="0"/>
        <w:rPr>
          <w:color w:val="auto"/>
          <w:sz w:val="20"/>
          <w:szCs w:val="20"/>
        </w:rPr>
      </w:pPr>
      <w:r w:rsidRPr="0072753B">
        <w:rPr>
          <w:color w:val="auto"/>
          <w:sz w:val="20"/>
          <w:szCs w:val="20"/>
        </w:rPr>
        <w:lastRenderedPageBreak/>
        <w:t xml:space="preserve">Table </w:t>
      </w:r>
      <w:r w:rsidRPr="0072753B">
        <w:rPr>
          <w:color w:val="auto"/>
          <w:sz w:val="20"/>
          <w:szCs w:val="20"/>
        </w:rPr>
        <w:fldChar w:fldCharType="begin"/>
      </w:r>
      <w:r w:rsidRPr="0072753B">
        <w:rPr>
          <w:color w:val="auto"/>
          <w:sz w:val="20"/>
          <w:szCs w:val="20"/>
        </w:rPr>
        <w:instrText xml:space="preserve"> SEQ Table \* ARABIC </w:instrText>
      </w:r>
      <w:r w:rsidRPr="0072753B">
        <w:rPr>
          <w:color w:val="auto"/>
          <w:sz w:val="20"/>
          <w:szCs w:val="20"/>
        </w:rPr>
        <w:fldChar w:fldCharType="separate"/>
      </w:r>
      <w:r w:rsidRPr="0072753B">
        <w:rPr>
          <w:color w:val="auto"/>
          <w:sz w:val="20"/>
          <w:szCs w:val="20"/>
        </w:rPr>
        <w:t>2</w:t>
      </w:r>
      <w:r w:rsidRPr="0072753B">
        <w:rPr>
          <w:color w:val="auto"/>
          <w:sz w:val="20"/>
          <w:szCs w:val="20"/>
        </w:rPr>
        <w:fldChar w:fldCharType="end"/>
      </w:r>
      <w:r w:rsidRPr="0072753B">
        <w:rPr>
          <w:color w:val="auto"/>
          <w:sz w:val="20"/>
          <w:szCs w:val="20"/>
        </w:rPr>
        <w:t>: SPC</w:t>
      </w:r>
      <w:r w:rsidR="008A1CF0" w:rsidRPr="0072753B">
        <w:rPr>
          <w:color w:val="auto"/>
          <w:sz w:val="20"/>
          <w:szCs w:val="20"/>
        </w:rPr>
        <w:t xml:space="preserve"> grants</w:t>
      </w:r>
      <w:r w:rsidRPr="0072753B">
        <w:rPr>
          <w:color w:val="auto"/>
          <w:sz w:val="20"/>
          <w:szCs w:val="20"/>
        </w:rPr>
        <w:t xml:space="preserve"> as </w:t>
      </w:r>
      <w:r w:rsidR="0085671A" w:rsidRPr="0072753B">
        <w:rPr>
          <w:color w:val="auto"/>
          <w:sz w:val="20"/>
          <w:szCs w:val="20"/>
        </w:rPr>
        <w:t>of</w:t>
      </w:r>
      <w:r w:rsidRPr="0072753B">
        <w:rPr>
          <w:color w:val="auto"/>
          <w:sz w:val="20"/>
          <w:szCs w:val="20"/>
        </w:rPr>
        <w:t xml:space="preserve"> 31 </w:t>
      </w:r>
      <w:r w:rsidR="0085671A" w:rsidRPr="0072753B">
        <w:rPr>
          <w:color w:val="auto"/>
          <w:sz w:val="20"/>
          <w:szCs w:val="20"/>
        </w:rPr>
        <w:t xml:space="preserve">August </w:t>
      </w:r>
      <w:r w:rsidRPr="0072753B">
        <w:rPr>
          <w:color w:val="auto"/>
          <w:sz w:val="20"/>
          <w:szCs w:val="20"/>
        </w:rPr>
        <w:t>2025</w:t>
      </w:r>
    </w:p>
    <w:tbl>
      <w:tblPr>
        <w:tblStyle w:val="PlainTable2"/>
        <w:tblW w:w="13935" w:type="dxa"/>
        <w:tblInd w:w="1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139"/>
        <w:gridCol w:w="3118"/>
        <w:gridCol w:w="2279"/>
        <w:gridCol w:w="2777"/>
        <w:gridCol w:w="1928"/>
      </w:tblGrid>
      <w:tr w:rsidR="002F6C9C" w:rsidRPr="0072753B" w14:paraId="7703918B" w14:textId="77777777" w:rsidTr="00CA6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Borders>
              <w:bottom w:val="single" w:sz="4" w:space="0" w:color="auto"/>
            </w:tcBorders>
            <w:shd w:val="clear" w:color="auto" w:fill="006699"/>
            <w:tcMar>
              <w:top w:w="85" w:type="dxa"/>
              <w:bottom w:w="85" w:type="dxa"/>
            </w:tcMar>
            <w:vAlign w:val="center"/>
          </w:tcPr>
          <w:p w14:paraId="26FEDD7A" w14:textId="77777777" w:rsidR="00CB4F7F" w:rsidRPr="0072753B" w:rsidRDefault="00CB4F7F" w:rsidP="0072753B">
            <w:pPr>
              <w:spacing w:line="276" w:lineRule="auto"/>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No.</w:t>
            </w:r>
          </w:p>
        </w:tc>
        <w:tc>
          <w:tcPr>
            <w:tcW w:w="3139" w:type="dxa"/>
            <w:tcBorders>
              <w:bottom w:val="single" w:sz="4" w:space="0" w:color="auto"/>
            </w:tcBorders>
            <w:shd w:val="clear" w:color="auto" w:fill="006699"/>
            <w:tcMar>
              <w:top w:w="85" w:type="dxa"/>
              <w:bottom w:w="85" w:type="dxa"/>
            </w:tcMar>
            <w:vAlign w:val="center"/>
          </w:tcPr>
          <w:p w14:paraId="1A8368FD" w14:textId="77777777" w:rsidR="00CB4F7F" w:rsidRPr="0072753B" w:rsidRDefault="00CB4F7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name and partner</w:t>
            </w:r>
          </w:p>
        </w:tc>
        <w:tc>
          <w:tcPr>
            <w:tcW w:w="3118" w:type="dxa"/>
            <w:tcBorders>
              <w:bottom w:val="single" w:sz="4" w:space="0" w:color="auto"/>
            </w:tcBorders>
            <w:shd w:val="clear" w:color="auto" w:fill="006699"/>
            <w:tcMar>
              <w:top w:w="85" w:type="dxa"/>
              <w:bottom w:w="85" w:type="dxa"/>
            </w:tcMar>
            <w:vAlign w:val="center"/>
          </w:tcPr>
          <w:p w14:paraId="3E5F7951" w14:textId="77777777" w:rsidR="00CB4F7F" w:rsidRPr="0072753B" w:rsidRDefault="00CB4F7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description</w:t>
            </w:r>
          </w:p>
        </w:tc>
        <w:tc>
          <w:tcPr>
            <w:tcW w:w="2279" w:type="dxa"/>
            <w:tcBorders>
              <w:bottom w:val="single" w:sz="4" w:space="0" w:color="auto"/>
            </w:tcBorders>
            <w:shd w:val="clear" w:color="auto" w:fill="006699"/>
            <w:tcMar>
              <w:top w:w="85" w:type="dxa"/>
              <w:bottom w:w="85" w:type="dxa"/>
            </w:tcMar>
            <w:vAlign w:val="center"/>
          </w:tcPr>
          <w:p w14:paraId="6FBDF63C" w14:textId="77777777" w:rsidR="00CB4F7F" w:rsidRPr="0072753B" w:rsidRDefault="00CB4F7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Countries</w:t>
            </w:r>
          </w:p>
        </w:tc>
        <w:tc>
          <w:tcPr>
            <w:tcW w:w="2777" w:type="dxa"/>
            <w:tcBorders>
              <w:bottom w:val="single" w:sz="4" w:space="0" w:color="auto"/>
            </w:tcBorders>
            <w:shd w:val="clear" w:color="auto" w:fill="006699"/>
          </w:tcPr>
          <w:p w14:paraId="659C4585" w14:textId="77777777" w:rsidR="00CB4F7F" w:rsidRPr="0072753B" w:rsidRDefault="00CB4F7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Value (AUD) / timeframe</w:t>
            </w:r>
          </w:p>
        </w:tc>
        <w:tc>
          <w:tcPr>
            <w:tcW w:w="1928" w:type="dxa"/>
            <w:tcBorders>
              <w:bottom w:val="single" w:sz="4" w:space="0" w:color="auto"/>
            </w:tcBorders>
            <w:shd w:val="clear" w:color="auto" w:fill="006699"/>
          </w:tcPr>
          <w:p w14:paraId="3723E48C" w14:textId="77777777" w:rsidR="00CB4F7F" w:rsidRPr="0072753B" w:rsidRDefault="00CB4F7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 xml:space="preserve">Project status </w:t>
            </w:r>
          </w:p>
        </w:tc>
      </w:tr>
      <w:tr w:rsidR="00CB4F7F" w:rsidRPr="0072753B" w14:paraId="781E71C2"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tcBorders>
            <w:tcMar>
              <w:top w:w="85" w:type="dxa"/>
              <w:bottom w:w="85" w:type="dxa"/>
            </w:tcMar>
          </w:tcPr>
          <w:p w14:paraId="5EF374A9" w14:textId="77777777" w:rsidR="00CB4F7F" w:rsidRPr="0072753B" w:rsidRDefault="00CB4F7F"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w:t>
            </w:r>
          </w:p>
        </w:tc>
        <w:tc>
          <w:tcPr>
            <w:tcW w:w="3139" w:type="dxa"/>
            <w:tcBorders>
              <w:top w:val="single" w:sz="4" w:space="0" w:color="auto"/>
            </w:tcBorders>
            <w:tcMar>
              <w:top w:w="85" w:type="dxa"/>
              <w:bottom w:w="85" w:type="dxa"/>
            </w:tcMar>
          </w:tcPr>
          <w:p w14:paraId="53543AD6" w14:textId="77777777"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Women Lead</w:t>
            </w:r>
          </w:p>
          <w:p w14:paraId="61621661" w14:textId="77777777"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93382B4" w14:textId="0B0183FF"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hAnsiTheme="majorHAnsi" w:cstheme="majorHAnsi"/>
                <w:sz w:val="20"/>
                <w:szCs w:val="20"/>
              </w:rPr>
              <w:t>(Pacific Community (SPC)’s Human Rights and Social Development (HRSD) Division)</w:t>
            </w:r>
            <w:r w:rsidRPr="0072753B">
              <w:rPr>
                <w:rFonts w:asciiTheme="majorHAnsi" w:hAnsiTheme="majorHAnsi" w:cstheme="majorHAnsi"/>
                <w:sz w:val="20"/>
                <w:szCs w:val="20"/>
              </w:rPr>
              <w:tab/>
            </w:r>
          </w:p>
        </w:tc>
        <w:tc>
          <w:tcPr>
            <w:tcW w:w="3118" w:type="dxa"/>
            <w:tcBorders>
              <w:top w:val="single" w:sz="4" w:space="0" w:color="auto"/>
            </w:tcBorders>
            <w:tcMar>
              <w:top w:w="85" w:type="dxa"/>
              <w:bottom w:w="85" w:type="dxa"/>
            </w:tcMar>
          </w:tcPr>
          <w:p w14:paraId="782A24E7" w14:textId="5C97E99C"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Known as Pacific Women Lead at SPC, the program supports the implementation of SPC’s key regional commitments outlined in the Pacific Leaders’ Gender Equality Declaration, the Pacific Platform for Action on Gender Equality and Women’s Human Rights, and the outcomes of the Triennial Conference of Pacific Women. The implementation of PWL also directly contributes </w:t>
            </w:r>
            <w:r w:rsidR="00EC4747" w:rsidRPr="0072753B">
              <w:rPr>
                <w:rFonts w:asciiTheme="majorHAnsi" w:hAnsiTheme="majorHAnsi" w:cstheme="majorHAnsi"/>
                <w:sz w:val="20"/>
                <w:szCs w:val="20"/>
              </w:rPr>
              <w:t>to reali</w:t>
            </w:r>
            <w:r w:rsidR="0072753B" w:rsidRPr="0072753B">
              <w:rPr>
                <w:rFonts w:asciiTheme="majorHAnsi" w:hAnsiTheme="majorHAnsi" w:cstheme="majorHAnsi"/>
                <w:sz w:val="20"/>
                <w:szCs w:val="20"/>
              </w:rPr>
              <w:t>s</w:t>
            </w:r>
            <w:r w:rsidR="00EC4747" w:rsidRPr="0072753B">
              <w:rPr>
                <w:rFonts w:asciiTheme="majorHAnsi" w:hAnsiTheme="majorHAnsi" w:cstheme="majorHAnsi"/>
                <w:sz w:val="20"/>
                <w:szCs w:val="20"/>
              </w:rPr>
              <w:t>ing</w:t>
            </w:r>
            <w:r w:rsidRPr="0072753B">
              <w:rPr>
                <w:rFonts w:asciiTheme="majorHAnsi" w:hAnsiTheme="majorHAnsi" w:cstheme="majorHAnsi"/>
                <w:sz w:val="20"/>
                <w:szCs w:val="20"/>
              </w:rPr>
              <w:t xml:space="preserve"> SPC’s Strategic Plan 2022–2031. PWL at SPC is the secretariat of the Pacific Women Lead Governance Board.</w:t>
            </w:r>
            <w:r w:rsidRPr="0072753B">
              <w:rPr>
                <w:rFonts w:asciiTheme="majorHAnsi" w:hAnsiTheme="majorHAnsi" w:cstheme="majorHAnsi"/>
                <w:sz w:val="20"/>
                <w:szCs w:val="20"/>
              </w:rPr>
              <w:tab/>
            </w:r>
            <w:r w:rsidRPr="0072753B">
              <w:rPr>
                <w:rFonts w:asciiTheme="majorHAnsi" w:hAnsiTheme="majorHAnsi" w:cstheme="majorHAnsi"/>
                <w:sz w:val="20"/>
                <w:szCs w:val="20"/>
              </w:rPr>
              <w:tab/>
            </w:r>
          </w:p>
        </w:tc>
        <w:tc>
          <w:tcPr>
            <w:tcW w:w="2279" w:type="dxa"/>
            <w:tcBorders>
              <w:top w:val="single" w:sz="4" w:space="0" w:color="auto"/>
            </w:tcBorders>
            <w:tcMar>
              <w:top w:w="85" w:type="dxa"/>
              <w:bottom w:w="85" w:type="dxa"/>
            </w:tcMar>
          </w:tcPr>
          <w:p w14:paraId="5F8D34CC" w14:textId="2A23A7B6"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All member Pacific Island countries</w:t>
            </w:r>
          </w:p>
        </w:tc>
        <w:tc>
          <w:tcPr>
            <w:tcW w:w="2777" w:type="dxa"/>
            <w:tcBorders>
              <w:top w:val="single" w:sz="4" w:space="0" w:color="auto"/>
            </w:tcBorders>
          </w:tcPr>
          <w:p w14:paraId="33C498E9" w14:textId="7780F845" w:rsidR="00CB4F7F" w:rsidRPr="0072753B" w:rsidRDefault="008272C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$42,153,622</w:t>
            </w:r>
            <w:r w:rsidR="00CD4B2B" w:rsidRPr="0072753B">
              <w:rPr>
                <w:rStyle w:val="FootnoteReference"/>
                <w:rFonts w:asciiTheme="majorHAnsi" w:hAnsiTheme="majorHAnsi" w:cstheme="majorHAnsi"/>
                <w:sz w:val="20"/>
                <w:szCs w:val="20"/>
              </w:rPr>
              <w:footnoteReference w:id="5"/>
            </w:r>
          </w:p>
          <w:p w14:paraId="5BEEBF77" w14:textId="182AEB7A"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2026</w:t>
            </w:r>
          </w:p>
        </w:tc>
        <w:tc>
          <w:tcPr>
            <w:tcW w:w="1928" w:type="dxa"/>
            <w:tcBorders>
              <w:top w:val="single" w:sz="4" w:space="0" w:color="auto"/>
            </w:tcBorders>
          </w:tcPr>
          <w:p w14:paraId="7134228D" w14:textId="059E1FFD" w:rsidR="00CB4F7F" w:rsidRPr="0072753B" w:rsidRDefault="00CB4F7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bl>
    <w:p w14:paraId="4E0F23F9" w14:textId="77777777" w:rsidR="00B35925" w:rsidRPr="0072753B" w:rsidRDefault="00B35925" w:rsidP="0072753B">
      <w:pPr>
        <w:jc w:val="left"/>
      </w:pPr>
      <w:bookmarkStart w:id="15" w:name="_Hlk194352525"/>
    </w:p>
    <w:p w14:paraId="29E60D82" w14:textId="29C16561" w:rsidR="00BF1CDC" w:rsidRPr="0072753B" w:rsidRDefault="00BF1CDC" w:rsidP="0072753B">
      <w:pPr>
        <w:pStyle w:val="Caption"/>
        <w:ind w:left="0" w:firstLine="0"/>
        <w:rPr>
          <w:color w:val="auto"/>
          <w:sz w:val="20"/>
          <w:szCs w:val="20"/>
        </w:rPr>
      </w:pPr>
      <w:r w:rsidRPr="0072753B">
        <w:rPr>
          <w:color w:val="auto"/>
          <w:sz w:val="20"/>
          <w:szCs w:val="20"/>
        </w:rPr>
        <w:t xml:space="preserve">Table </w:t>
      </w:r>
      <w:r w:rsidR="00BB7F10" w:rsidRPr="0072753B">
        <w:rPr>
          <w:color w:val="auto"/>
          <w:sz w:val="20"/>
          <w:szCs w:val="20"/>
        </w:rPr>
        <w:t>3</w:t>
      </w:r>
      <w:r w:rsidRPr="0072753B">
        <w:rPr>
          <w:color w:val="auto"/>
          <w:sz w:val="20"/>
          <w:szCs w:val="20"/>
        </w:rPr>
        <w:t xml:space="preserve">: SPC </w:t>
      </w:r>
      <w:r w:rsidR="0094077B" w:rsidRPr="0072753B">
        <w:rPr>
          <w:color w:val="auto"/>
          <w:sz w:val="20"/>
          <w:szCs w:val="20"/>
        </w:rPr>
        <w:t xml:space="preserve">grants </w:t>
      </w:r>
      <w:r w:rsidRPr="0072753B">
        <w:rPr>
          <w:color w:val="auto"/>
          <w:sz w:val="20"/>
          <w:szCs w:val="20"/>
        </w:rPr>
        <w:t xml:space="preserve">as </w:t>
      </w:r>
      <w:r w:rsidR="00B80071" w:rsidRPr="0072753B">
        <w:rPr>
          <w:color w:val="auto"/>
          <w:sz w:val="20"/>
          <w:szCs w:val="20"/>
        </w:rPr>
        <w:t>of</w:t>
      </w:r>
      <w:r w:rsidRPr="0072753B">
        <w:rPr>
          <w:color w:val="auto"/>
          <w:sz w:val="20"/>
          <w:szCs w:val="20"/>
        </w:rPr>
        <w:t xml:space="preserve"> 31 </w:t>
      </w:r>
      <w:r w:rsidR="00845E8E" w:rsidRPr="0072753B">
        <w:rPr>
          <w:color w:val="auto"/>
          <w:sz w:val="20"/>
          <w:szCs w:val="20"/>
        </w:rPr>
        <w:t xml:space="preserve">August </w:t>
      </w:r>
      <w:r w:rsidRPr="0072753B">
        <w:rPr>
          <w:color w:val="auto"/>
          <w:sz w:val="20"/>
          <w:szCs w:val="20"/>
        </w:rPr>
        <w:t>2025</w:t>
      </w:r>
    </w:p>
    <w:tbl>
      <w:tblPr>
        <w:tblStyle w:val="PlainTable2"/>
        <w:tblW w:w="13935" w:type="dxa"/>
        <w:tblInd w:w="15" w:type="dxa"/>
        <w:tblBorders>
          <w:top w:val="none" w:sz="0" w:space="0" w:color="auto"/>
          <w:left w:val="none" w:sz="0" w:space="0" w:color="auto"/>
          <w:bottom w:val="single" w:sz="4"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014"/>
        <w:gridCol w:w="2977"/>
        <w:gridCol w:w="3060"/>
        <w:gridCol w:w="2161"/>
        <w:gridCol w:w="2498"/>
        <w:gridCol w:w="2225"/>
      </w:tblGrid>
      <w:tr w:rsidR="002F6C9C" w:rsidRPr="0072753B" w14:paraId="4D802EFE" w14:textId="77777777" w:rsidTr="009C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006699"/>
            <w:tcMar>
              <w:top w:w="85" w:type="dxa"/>
              <w:bottom w:w="85" w:type="dxa"/>
            </w:tcMar>
            <w:vAlign w:val="center"/>
          </w:tcPr>
          <w:p w14:paraId="79A0FE67" w14:textId="77777777" w:rsidR="00BF1CDC" w:rsidRPr="0072753B" w:rsidRDefault="00BF1CDC" w:rsidP="0072753B">
            <w:pPr>
              <w:spacing w:line="276" w:lineRule="auto"/>
              <w:rPr>
                <w:rFonts w:asciiTheme="majorHAnsi" w:hAnsiTheme="majorHAnsi" w:cstheme="majorHAnsi"/>
                <w:b w:val="0"/>
                <w:bCs w:val="0"/>
                <w:color w:val="FFFFFF" w:themeColor="background1"/>
                <w:sz w:val="20"/>
                <w:szCs w:val="20"/>
              </w:rPr>
            </w:pPr>
            <w:bookmarkStart w:id="16" w:name="_Hlk194360949"/>
            <w:r w:rsidRPr="0072753B">
              <w:rPr>
                <w:rFonts w:asciiTheme="majorHAnsi" w:hAnsiTheme="majorHAnsi" w:cstheme="majorHAnsi"/>
                <w:color w:val="FFFFFF" w:themeColor="background1"/>
                <w:sz w:val="20"/>
                <w:szCs w:val="20"/>
              </w:rPr>
              <w:t>No.</w:t>
            </w:r>
          </w:p>
        </w:tc>
        <w:tc>
          <w:tcPr>
            <w:tcW w:w="0" w:type="dxa"/>
            <w:tcBorders>
              <w:bottom w:val="single" w:sz="4" w:space="0" w:color="auto"/>
            </w:tcBorders>
            <w:shd w:val="clear" w:color="auto" w:fill="006699"/>
            <w:tcMar>
              <w:top w:w="85" w:type="dxa"/>
              <w:bottom w:w="85" w:type="dxa"/>
            </w:tcMar>
            <w:vAlign w:val="center"/>
          </w:tcPr>
          <w:p w14:paraId="304CAEE1" w14:textId="77777777" w:rsidR="00BF1CDC" w:rsidRPr="0072753B" w:rsidRDefault="00BF1CDC"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name and partner</w:t>
            </w:r>
          </w:p>
        </w:tc>
        <w:tc>
          <w:tcPr>
            <w:tcW w:w="0" w:type="dxa"/>
            <w:tcBorders>
              <w:bottom w:val="single" w:sz="4" w:space="0" w:color="auto"/>
            </w:tcBorders>
            <w:shd w:val="clear" w:color="auto" w:fill="006699"/>
            <w:tcMar>
              <w:top w:w="85" w:type="dxa"/>
              <w:bottom w:w="85" w:type="dxa"/>
            </w:tcMar>
            <w:vAlign w:val="center"/>
          </w:tcPr>
          <w:p w14:paraId="08DDB227" w14:textId="77777777" w:rsidR="00BF1CDC" w:rsidRPr="0072753B" w:rsidRDefault="00BF1CDC"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description</w:t>
            </w:r>
          </w:p>
        </w:tc>
        <w:tc>
          <w:tcPr>
            <w:tcW w:w="0" w:type="dxa"/>
            <w:tcBorders>
              <w:bottom w:val="single" w:sz="4" w:space="0" w:color="auto"/>
            </w:tcBorders>
            <w:shd w:val="clear" w:color="auto" w:fill="006699"/>
            <w:tcMar>
              <w:top w:w="85" w:type="dxa"/>
              <w:bottom w:w="85" w:type="dxa"/>
            </w:tcMar>
            <w:vAlign w:val="center"/>
          </w:tcPr>
          <w:p w14:paraId="3C082F6D" w14:textId="77777777" w:rsidR="00BF1CDC" w:rsidRPr="0072753B" w:rsidRDefault="00BF1CDC"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Countries</w:t>
            </w:r>
          </w:p>
        </w:tc>
        <w:tc>
          <w:tcPr>
            <w:tcW w:w="0" w:type="dxa"/>
            <w:tcBorders>
              <w:bottom w:val="single" w:sz="4" w:space="0" w:color="auto"/>
            </w:tcBorders>
            <w:shd w:val="clear" w:color="auto" w:fill="006699"/>
          </w:tcPr>
          <w:p w14:paraId="21103759" w14:textId="77777777" w:rsidR="00BF1CDC" w:rsidRPr="0072753B" w:rsidRDefault="00BF1CDC"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Value (AUD) / timeframe</w:t>
            </w:r>
          </w:p>
        </w:tc>
        <w:tc>
          <w:tcPr>
            <w:tcW w:w="0" w:type="dxa"/>
            <w:tcBorders>
              <w:bottom w:val="single" w:sz="4" w:space="0" w:color="auto"/>
            </w:tcBorders>
            <w:shd w:val="clear" w:color="auto" w:fill="006699"/>
          </w:tcPr>
          <w:p w14:paraId="06282781" w14:textId="77777777" w:rsidR="00BF1CDC" w:rsidRPr="0072753B" w:rsidRDefault="00BF1CDC"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 xml:space="preserve">Project status </w:t>
            </w:r>
          </w:p>
        </w:tc>
      </w:tr>
      <w:tr w:rsidR="0012022C" w:rsidRPr="0072753B" w14:paraId="4042CB97"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5B686D9D" w14:textId="2070F35A" w:rsidR="00736C17" w:rsidRPr="0072753B" w:rsidRDefault="00736C17"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w:t>
            </w:r>
          </w:p>
        </w:tc>
        <w:tc>
          <w:tcPr>
            <w:tcW w:w="0" w:type="dxa"/>
            <w:tcBorders>
              <w:top w:val="single" w:sz="4" w:space="0" w:color="auto"/>
            </w:tcBorders>
            <w:tcMar>
              <w:top w:w="85" w:type="dxa"/>
              <w:bottom w:w="85" w:type="dxa"/>
            </w:tcMar>
          </w:tcPr>
          <w:p w14:paraId="504210CD" w14:textId="75080444"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 xml:space="preserve">A Niu Pasifika Paradigm: </w:t>
            </w:r>
            <w:r w:rsidR="00911226" w:rsidRPr="0072753B">
              <w:rPr>
                <w:rFonts w:asciiTheme="majorHAnsi" w:eastAsia="Arial" w:hAnsiTheme="majorHAnsi" w:cstheme="majorHAnsi"/>
                <w:color w:val="000000" w:themeColor="text1"/>
                <w:sz w:val="20"/>
                <w:szCs w:val="20"/>
              </w:rPr>
              <w:t>“</w:t>
            </w:r>
            <w:r w:rsidRPr="0072753B">
              <w:rPr>
                <w:rFonts w:asciiTheme="majorHAnsi" w:eastAsia="Arial" w:hAnsiTheme="majorHAnsi" w:cstheme="majorHAnsi"/>
                <w:color w:val="000000" w:themeColor="text1"/>
                <w:sz w:val="20"/>
                <w:szCs w:val="20"/>
              </w:rPr>
              <w:t>Whole of Life</w:t>
            </w:r>
            <w:r w:rsidR="00911226" w:rsidRPr="0072753B">
              <w:rPr>
                <w:rFonts w:asciiTheme="majorHAnsi" w:eastAsia="Arial" w:hAnsiTheme="majorHAnsi" w:cstheme="majorHAnsi"/>
                <w:color w:val="000000" w:themeColor="text1"/>
                <w:sz w:val="20"/>
                <w:szCs w:val="20"/>
              </w:rPr>
              <w:t>”</w:t>
            </w:r>
            <w:r w:rsidRPr="0072753B">
              <w:rPr>
                <w:rFonts w:asciiTheme="majorHAnsi" w:eastAsia="Arial" w:hAnsiTheme="majorHAnsi" w:cstheme="majorHAnsi"/>
                <w:color w:val="000000" w:themeColor="text1"/>
                <w:sz w:val="20"/>
                <w:szCs w:val="20"/>
              </w:rPr>
              <w:t xml:space="preserve"> Transformative Leadership for Justice - Strengthening Women’s Leadership, Gender, Ecological, Economic and </w:t>
            </w:r>
            <w:r w:rsidRPr="0072753B">
              <w:rPr>
                <w:rFonts w:asciiTheme="majorHAnsi" w:eastAsia="Arial" w:hAnsiTheme="majorHAnsi" w:cstheme="majorHAnsi"/>
                <w:color w:val="000000" w:themeColor="text1"/>
                <w:sz w:val="20"/>
                <w:szCs w:val="20"/>
              </w:rPr>
              <w:lastRenderedPageBreak/>
              <w:t>Social Justice in the Pasifika Household of God</w:t>
            </w:r>
          </w:p>
          <w:p w14:paraId="118B707A"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p>
          <w:p w14:paraId="2D66B04B"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(Pacific Theological College)</w:t>
            </w:r>
          </w:p>
        </w:tc>
        <w:tc>
          <w:tcPr>
            <w:tcW w:w="0" w:type="dxa"/>
            <w:tcBorders>
              <w:top w:val="single" w:sz="4" w:space="0" w:color="auto"/>
            </w:tcBorders>
            <w:tcMar>
              <w:top w:w="85" w:type="dxa"/>
              <w:bottom w:w="85" w:type="dxa"/>
            </w:tcMar>
          </w:tcPr>
          <w:p w14:paraId="5785FB05" w14:textId="7B5B0CE2"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The </w:t>
            </w:r>
            <w:r w:rsidR="00C0032E" w:rsidRPr="0072753B">
              <w:rPr>
                <w:rFonts w:asciiTheme="majorHAnsi" w:hAnsiTheme="majorHAnsi" w:cstheme="majorHAnsi"/>
                <w:sz w:val="20"/>
                <w:szCs w:val="20"/>
              </w:rPr>
              <w:t>p</w:t>
            </w:r>
            <w:r w:rsidRPr="0072753B">
              <w:rPr>
                <w:rFonts w:asciiTheme="majorHAnsi" w:hAnsiTheme="majorHAnsi" w:cstheme="majorHAnsi"/>
                <w:sz w:val="20"/>
                <w:szCs w:val="20"/>
              </w:rPr>
              <w:t xml:space="preserve">roject works to introduce a new Master of Theology in Gender Justice, promote and support women’s economic empowerment, and advocate for a living income/wage policy </w:t>
            </w:r>
            <w:r w:rsidRPr="0072753B">
              <w:rPr>
                <w:rFonts w:asciiTheme="majorHAnsi" w:hAnsiTheme="majorHAnsi" w:cstheme="majorHAnsi"/>
                <w:sz w:val="20"/>
                <w:szCs w:val="20"/>
              </w:rPr>
              <w:lastRenderedPageBreak/>
              <w:t xml:space="preserve">with CSOs through Fiji Council of Social Services. It also aims to strengthen women’s agency within </w:t>
            </w:r>
            <w:r w:rsidR="0084751F" w:rsidRPr="0072753B">
              <w:rPr>
                <w:rFonts w:asciiTheme="majorHAnsi" w:hAnsiTheme="majorHAnsi" w:cstheme="majorHAnsi"/>
                <w:sz w:val="20"/>
                <w:szCs w:val="20"/>
              </w:rPr>
              <w:t>the</w:t>
            </w:r>
            <w:r w:rsidRPr="0072753B">
              <w:rPr>
                <w:rFonts w:asciiTheme="majorHAnsi" w:hAnsiTheme="majorHAnsi" w:cstheme="majorHAnsi"/>
                <w:sz w:val="20"/>
                <w:szCs w:val="20"/>
              </w:rPr>
              <w:t xml:space="preserve"> Methodist Church Women’s Secretariat and coordinate Talanoa sessions on </w:t>
            </w:r>
            <w:r w:rsidR="00F03A64" w:rsidRPr="0072753B">
              <w:rPr>
                <w:rFonts w:asciiTheme="majorHAnsi" w:hAnsiTheme="majorHAnsi" w:cstheme="majorHAnsi"/>
                <w:sz w:val="20"/>
                <w:szCs w:val="20"/>
              </w:rPr>
              <w:t>gender violence</w:t>
            </w:r>
            <w:r w:rsidRPr="0072753B">
              <w:rPr>
                <w:rFonts w:asciiTheme="majorHAnsi" w:hAnsiTheme="majorHAnsi" w:cstheme="majorHAnsi"/>
                <w:sz w:val="20"/>
                <w:szCs w:val="20"/>
              </w:rPr>
              <w:t>, including setting up a help line and pastoral counselling.</w:t>
            </w:r>
          </w:p>
        </w:tc>
        <w:tc>
          <w:tcPr>
            <w:tcW w:w="0" w:type="dxa"/>
            <w:tcBorders>
              <w:top w:val="single" w:sz="4" w:space="0" w:color="auto"/>
            </w:tcBorders>
            <w:tcMar>
              <w:top w:w="85" w:type="dxa"/>
              <w:bottom w:w="85" w:type="dxa"/>
            </w:tcMar>
          </w:tcPr>
          <w:p w14:paraId="49FBDD7C"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Fiji </w:t>
            </w:r>
          </w:p>
          <w:p w14:paraId="74BEC78F" w14:textId="77777777" w:rsidR="002056A4"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Kiribati </w:t>
            </w:r>
          </w:p>
          <w:p w14:paraId="5E6CC2C0" w14:textId="5EFEEC5E"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tc>
        <w:tc>
          <w:tcPr>
            <w:tcW w:w="0" w:type="dxa"/>
            <w:tcBorders>
              <w:top w:val="single" w:sz="4" w:space="0" w:color="auto"/>
            </w:tcBorders>
          </w:tcPr>
          <w:p w14:paraId="0D781E63"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$499,711.64</w:t>
            </w:r>
          </w:p>
          <w:p w14:paraId="54327F40"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0489870"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2024 - 2025</w:t>
            </w:r>
          </w:p>
        </w:tc>
        <w:tc>
          <w:tcPr>
            <w:tcW w:w="0" w:type="dxa"/>
            <w:tcBorders>
              <w:top w:val="single" w:sz="4" w:space="0" w:color="auto"/>
            </w:tcBorders>
          </w:tcPr>
          <w:p w14:paraId="6C0CC086" w14:textId="52F248A2"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bookmarkEnd w:id="16"/>
      <w:tr w:rsidR="0012022C" w:rsidRPr="0072753B" w14:paraId="1F09D999"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286C8CB" w14:textId="0B994F1C" w:rsidR="002B658C" w:rsidRPr="0072753B" w:rsidRDefault="002B658C"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w:t>
            </w:r>
          </w:p>
        </w:tc>
        <w:tc>
          <w:tcPr>
            <w:tcW w:w="0" w:type="dxa"/>
            <w:tcMar>
              <w:top w:w="85" w:type="dxa"/>
              <w:bottom w:w="85" w:type="dxa"/>
            </w:tcMar>
          </w:tcPr>
          <w:p w14:paraId="27D1CF94"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Barriers to Female Leadership for Staff at Selected Pacific Island Universities, with an emphasis on Science, Technology, Engineering and Mathematics (STEM)</w:t>
            </w:r>
          </w:p>
          <w:p w14:paraId="37153476"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38A6896"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(University of South Pacific (USP))</w:t>
            </w:r>
          </w:p>
        </w:tc>
        <w:tc>
          <w:tcPr>
            <w:tcW w:w="0" w:type="dxa"/>
            <w:tcMar>
              <w:top w:w="85" w:type="dxa"/>
              <w:bottom w:w="85" w:type="dxa"/>
            </w:tcMar>
          </w:tcPr>
          <w:p w14:paraId="2FDB148A" w14:textId="1FEF9113"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C0032E" w:rsidRPr="0072753B">
              <w:rPr>
                <w:rFonts w:asciiTheme="majorHAnsi" w:hAnsiTheme="majorHAnsi" w:cstheme="majorHAnsi"/>
                <w:sz w:val="20"/>
                <w:szCs w:val="20"/>
              </w:rPr>
              <w:t>e</w:t>
            </w:r>
            <w:r w:rsidRPr="0072753B">
              <w:rPr>
                <w:rFonts w:asciiTheme="majorHAnsi" w:hAnsiTheme="majorHAnsi" w:cstheme="majorHAnsi"/>
                <w:sz w:val="20"/>
                <w:szCs w:val="20"/>
              </w:rPr>
              <w:t xml:space="preserve"> project aims to establish baselines </w:t>
            </w:r>
            <w:r w:rsidR="00CA2843" w:rsidRPr="0072753B">
              <w:rPr>
                <w:rFonts w:asciiTheme="majorHAnsi" w:hAnsiTheme="majorHAnsi" w:cstheme="majorHAnsi"/>
                <w:sz w:val="20"/>
                <w:szCs w:val="20"/>
              </w:rPr>
              <w:t>and cataly</w:t>
            </w:r>
            <w:r w:rsidR="0072753B" w:rsidRPr="0072753B">
              <w:rPr>
                <w:rFonts w:asciiTheme="majorHAnsi" w:hAnsiTheme="majorHAnsi" w:cstheme="majorHAnsi"/>
                <w:sz w:val="20"/>
                <w:szCs w:val="20"/>
              </w:rPr>
              <w:t>s</w:t>
            </w:r>
            <w:r w:rsidR="00CA2843" w:rsidRPr="0072753B">
              <w:rPr>
                <w:rFonts w:asciiTheme="majorHAnsi" w:hAnsiTheme="majorHAnsi" w:cstheme="majorHAnsi"/>
                <w:sz w:val="20"/>
                <w:szCs w:val="20"/>
              </w:rPr>
              <w:t>ing</w:t>
            </w:r>
            <w:r w:rsidRPr="0072753B">
              <w:rPr>
                <w:rFonts w:asciiTheme="majorHAnsi" w:hAnsiTheme="majorHAnsi" w:cstheme="majorHAnsi"/>
                <w:sz w:val="20"/>
                <w:szCs w:val="20"/>
              </w:rPr>
              <w:t xml:space="preserve"> mechanisms to increase the number of women in senior leadership positions in Pacific Island Universities within STEM and beyond.</w:t>
            </w:r>
          </w:p>
        </w:tc>
        <w:tc>
          <w:tcPr>
            <w:tcW w:w="0" w:type="dxa"/>
            <w:tcMar>
              <w:top w:w="85" w:type="dxa"/>
              <w:bottom w:w="85" w:type="dxa"/>
            </w:tcMar>
          </w:tcPr>
          <w:p w14:paraId="02AFC801"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2C9887FC"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Fiji </w:t>
            </w:r>
          </w:p>
          <w:p w14:paraId="72A59C2C"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0" w:type="dxa"/>
          </w:tcPr>
          <w:p w14:paraId="56653BB8"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$415,539.25 </w:t>
            </w:r>
          </w:p>
          <w:p w14:paraId="04B0E5E1" w14:textId="77777777" w:rsidR="002B658C"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16F88A9" w14:textId="6F0A215A" w:rsidR="00433C69" w:rsidRPr="0072753B" w:rsidRDefault="002B658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2024 </w:t>
            </w:r>
            <w:r w:rsidR="00433C69" w:rsidRPr="0072753B">
              <w:rPr>
                <w:rFonts w:asciiTheme="majorHAnsi" w:hAnsiTheme="majorHAnsi" w:cstheme="majorHAnsi"/>
                <w:sz w:val="20"/>
                <w:szCs w:val="20"/>
              </w:rPr>
              <w:t>–</w:t>
            </w:r>
            <w:r w:rsidRPr="0072753B">
              <w:rPr>
                <w:rFonts w:asciiTheme="majorHAnsi" w:hAnsiTheme="majorHAnsi" w:cstheme="majorHAnsi"/>
                <w:sz w:val="20"/>
                <w:szCs w:val="20"/>
              </w:rPr>
              <w:t xml:space="preserve"> 2025</w:t>
            </w:r>
          </w:p>
        </w:tc>
        <w:tc>
          <w:tcPr>
            <w:tcW w:w="0" w:type="dxa"/>
          </w:tcPr>
          <w:p w14:paraId="7EDA7D67" w14:textId="4441DAC5" w:rsidR="002B658C" w:rsidRPr="0072753B" w:rsidRDefault="001F0A3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2A08B50E"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3C88CDB" w14:textId="73ED7354" w:rsidR="001F0A32" w:rsidRPr="0072753B" w:rsidRDefault="001F0A32"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w:t>
            </w:r>
          </w:p>
        </w:tc>
        <w:tc>
          <w:tcPr>
            <w:tcW w:w="0" w:type="dxa"/>
            <w:tcMar>
              <w:top w:w="85" w:type="dxa"/>
              <w:bottom w:w="85" w:type="dxa"/>
            </w:tcMar>
          </w:tcPr>
          <w:p w14:paraId="6FD0A345"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Building Rural Women's Leadership in Food Security and Disaster Management</w:t>
            </w:r>
          </w:p>
          <w:p w14:paraId="321475B2"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5F3E93B"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(Ministry of Agriculture)</w:t>
            </w:r>
          </w:p>
        </w:tc>
        <w:tc>
          <w:tcPr>
            <w:tcW w:w="0" w:type="dxa"/>
            <w:tcMar>
              <w:top w:w="85" w:type="dxa"/>
              <w:bottom w:w="85" w:type="dxa"/>
            </w:tcMar>
          </w:tcPr>
          <w:p w14:paraId="094765C9" w14:textId="100EF097" w:rsidR="001F0A32" w:rsidRPr="0072753B" w:rsidRDefault="00D720D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rPr>
            </w:pPr>
            <w:r w:rsidRPr="0072753B">
              <w:rPr>
                <w:rFonts w:asciiTheme="majorHAnsi" w:hAnsiTheme="majorHAnsi" w:cstheme="majorHAnsi"/>
                <w:iCs/>
                <w:sz w:val="20"/>
                <w:szCs w:val="20"/>
              </w:rPr>
              <w:t>The project aims to empower women across provinces of Vanuatu with increased capacity for leadership in the areas of food security and disaster management. This will be achieved through capacity building and networking, training and increased resources to be able to implement the training, thus will improve food security and nutrition in disaster management.</w:t>
            </w:r>
          </w:p>
        </w:tc>
        <w:tc>
          <w:tcPr>
            <w:tcW w:w="0" w:type="dxa"/>
            <w:tcMar>
              <w:top w:w="85" w:type="dxa"/>
              <w:bottom w:w="85" w:type="dxa"/>
            </w:tcMar>
          </w:tcPr>
          <w:p w14:paraId="13189256"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Pr>
          <w:p w14:paraId="30B29734"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$299,750 </w:t>
            </w:r>
          </w:p>
          <w:p w14:paraId="4E5F74F0"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F160D3B"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4C065571" w14:textId="2CE43A00" w:rsidR="001F0A32" w:rsidRPr="0072753B" w:rsidRDefault="00067731"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5C8DF871" w14:textId="77777777" w:rsidTr="00CA6E7B">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766C9C4" w14:textId="45FF9753" w:rsidR="00736C17" w:rsidRPr="0072753B" w:rsidRDefault="0006773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4</w:t>
            </w:r>
          </w:p>
        </w:tc>
        <w:tc>
          <w:tcPr>
            <w:tcW w:w="0" w:type="dxa"/>
            <w:tcMar>
              <w:top w:w="85" w:type="dxa"/>
              <w:bottom w:w="85" w:type="dxa"/>
            </w:tcMar>
          </w:tcPr>
          <w:p w14:paraId="5D572444"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Country Focal Point - Support for implementation for the Government of Palau's gender mainstreaming policy and strategy</w:t>
            </w:r>
          </w:p>
          <w:p w14:paraId="73172A27"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AB9181F"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(Ministry of Culture and Community Affairs – Gender Division)</w:t>
            </w:r>
          </w:p>
        </w:tc>
        <w:tc>
          <w:tcPr>
            <w:tcW w:w="0" w:type="dxa"/>
            <w:tcMar>
              <w:top w:w="85" w:type="dxa"/>
              <w:bottom w:w="85" w:type="dxa"/>
            </w:tcMar>
          </w:tcPr>
          <w:p w14:paraId="09DF4424" w14:textId="72AE5F38"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C0032E" w:rsidRPr="0072753B">
              <w:rPr>
                <w:rFonts w:asciiTheme="majorHAnsi" w:hAnsiTheme="majorHAnsi" w:cstheme="majorHAnsi"/>
                <w:sz w:val="20"/>
                <w:szCs w:val="20"/>
              </w:rPr>
              <w:t>e</w:t>
            </w:r>
            <w:r w:rsidRPr="0072753B">
              <w:rPr>
                <w:rFonts w:asciiTheme="majorHAnsi" w:hAnsiTheme="majorHAnsi" w:cstheme="majorHAnsi"/>
                <w:sz w:val="20"/>
                <w:szCs w:val="20"/>
              </w:rPr>
              <w:t xml:space="preserve"> project funds a Country Focal Point (CFP) in Palau (previously national Gender Analyst position). The CFP supports the implementation of the National Gender Equality Policy/Strategy.</w:t>
            </w:r>
          </w:p>
        </w:tc>
        <w:tc>
          <w:tcPr>
            <w:tcW w:w="0" w:type="dxa"/>
            <w:tcMar>
              <w:top w:w="85" w:type="dxa"/>
              <w:bottom w:w="85" w:type="dxa"/>
            </w:tcMar>
          </w:tcPr>
          <w:p w14:paraId="5545DB9D"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tc>
        <w:tc>
          <w:tcPr>
            <w:tcW w:w="0" w:type="dxa"/>
          </w:tcPr>
          <w:p w14:paraId="7406FB43"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$34,000</w:t>
            </w:r>
          </w:p>
          <w:p w14:paraId="4AE22264"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04E2347"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2022 - 2024</w:t>
            </w:r>
          </w:p>
        </w:tc>
        <w:tc>
          <w:tcPr>
            <w:tcW w:w="0" w:type="dxa"/>
          </w:tcPr>
          <w:p w14:paraId="30AC498A"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12022C" w:rsidRPr="0072753B" w14:paraId="52E391CC"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93D4BCA" w14:textId="10A03413" w:rsidR="00141696" w:rsidRPr="0072753B" w:rsidRDefault="0006773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5</w:t>
            </w:r>
          </w:p>
        </w:tc>
        <w:tc>
          <w:tcPr>
            <w:tcW w:w="0" w:type="dxa"/>
            <w:tcMar>
              <w:top w:w="85" w:type="dxa"/>
              <w:bottom w:w="85" w:type="dxa"/>
            </w:tcMar>
          </w:tcPr>
          <w:p w14:paraId="5F914A70"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Economic Empowerment for Rural Remote Pacific Women</w:t>
            </w:r>
          </w:p>
          <w:p w14:paraId="63E1A485"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p>
          <w:p w14:paraId="6271697E"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(Rise Beyond the Reef)</w:t>
            </w:r>
          </w:p>
        </w:tc>
        <w:tc>
          <w:tcPr>
            <w:tcW w:w="0" w:type="dxa"/>
            <w:tcMar>
              <w:top w:w="85" w:type="dxa"/>
              <w:bottom w:w="85" w:type="dxa"/>
            </w:tcMar>
          </w:tcPr>
          <w:p w14:paraId="33E8E52F" w14:textId="2313FC80"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aims to build resilient communities through sustainable income generating projects that promote traditional knowledge in Fiji. In Solomon Islands, the project works through the established Artisan Cooperative representatives in partnership with local government, village leaders, spouses, to develop a community development strategy that promotes </w:t>
            </w:r>
            <w:r w:rsidR="00F956A1" w:rsidRPr="0072753B">
              <w:rPr>
                <w:rFonts w:asciiTheme="majorHAnsi" w:hAnsiTheme="majorHAnsi" w:cstheme="majorHAnsi"/>
                <w:sz w:val="20"/>
                <w:szCs w:val="20"/>
              </w:rPr>
              <w:t>gender equality</w:t>
            </w:r>
            <w:r w:rsidRPr="0072753B">
              <w:rPr>
                <w:rFonts w:asciiTheme="majorHAnsi" w:hAnsiTheme="majorHAnsi" w:cstheme="majorHAnsi"/>
                <w:sz w:val="20"/>
                <w:szCs w:val="20"/>
              </w:rPr>
              <w:t xml:space="preserve"> and address harmful norms through outreach trainings and community check-ins.</w:t>
            </w:r>
          </w:p>
        </w:tc>
        <w:tc>
          <w:tcPr>
            <w:tcW w:w="0" w:type="dxa"/>
            <w:tcMar>
              <w:top w:w="85" w:type="dxa"/>
              <w:bottom w:w="85" w:type="dxa"/>
            </w:tcMar>
          </w:tcPr>
          <w:p w14:paraId="08AD10D2"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Fiji </w:t>
            </w:r>
          </w:p>
          <w:p w14:paraId="726B0C79" w14:textId="6038A23D"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0" w:type="dxa"/>
          </w:tcPr>
          <w:p w14:paraId="0FCA630A"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$499,595.35</w:t>
            </w:r>
          </w:p>
          <w:p w14:paraId="62462B75"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8FE0384" w14:textId="77777777"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 2025</w:t>
            </w:r>
          </w:p>
        </w:tc>
        <w:tc>
          <w:tcPr>
            <w:tcW w:w="0" w:type="dxa"/>
          </w:tcPr>
          <w:p w14:paraId="03D9BAE5" w14:textId="15B6220F" w:rsidR="00141696" w:rsidRPr="0072753B" w:rsidRDefault="0014169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06054BFE"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4DD5DBE" w14:textId="2D6855A0" w:rsidR="00736C17" w:rsidRPr="0072753B" w:rsidRDefault="0006773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6</w:t>
            </w:r>
          </w:p>
        </w:tc>
        <w:tc>
          <w:tcPr>
            <w:tcW w:w="0" w:type="dxa"/>
            <w:tcMar>
              <w:top w:w="85" w:type="dxa"/>
              <w:bottom w:w="85" w:type="dxa"/>
            </w:tcMar>
          </w:tcPr>
          <w:p w14:paraId="0B620217"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Educate, Empower and Support: Reducing domestic violence in Cook Islands</w:t>
            </w:r>
          </w:p>
          <w:p w14:paraId="49F6EB72"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p>
          <w:p w14:paraId="20B34C02"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w:t>
            </w:r>
            <w:proofErr w:type="spellStart"/>
            <w:r w:rsidRPr="0072753B">
              <w:rPr>
                <w:rFonts w:asciiTheme="majorHAnsi" w:eastAsia="Arial" w:hAnsiTheme="majorHAnsi" w:cstheme="majorHAnsi"/>
                <w:color w:val="000000" w:themeColor="text1"/>
                <w:sz w:val="20"/>
                <w:szCs w:val="20"/>
              </w:rPr>
              <w:t>Punanga</w:t>
            </w:r>
            <w:proofErr w:type="spellEnd"/>
            <w:r w:rsidRPr="0072753B">
              <w:rPr>
                <w:rFonts w:asciiTheme="majorHAnsi" w:eastAsia="Arial" w:hAnsiTheme="majorHAnsi" w:cstheme="majorHAnsi"/>
                <w:color w:val="000000" w:themeColor="text1"/>
                <w:sz w:val="20"/>
                <w:szCs w:val="20"/>
              </w:rPr>
              <w:t xml:space="preserve"> </w:t>
            </w:r>
            <w:proofErr w:type="spellStart"/>
            <w:r w:rsidRPr="0072753B">
              <w:rPr>
                <w:rFonts w:asciiTheme="majorHAnsi" w:eastAsia="Arial" w:hAnsiTheme="majorHAnsi" w:cstheme="majorHAnsi"/>
                <w:color w:val="000000" w:themeColor="text1"/>
                <w:sz w:val="20"/>
                <w:szCs w:val="20"/>
              </w:rPr>
              <w:t>Tauturu</w:t>
            </w:r>
            <w:proofErr w:type="spellEnd"/>
            <w:r w:rsidRPr="0072753B">
              <w:rPr>
                <w:rFonts w:asciiTheme="majorHAnsi" w:eastAsia="Arial" w:hAnsiTheme="majorHAnsi" w:cstheme="majorHAnsi"/>
                <w:color w:val="000000" w:themeColor="text1"/>
                <w:sz w:val="20"/>
                <w:szCs w:val="20"/>
              </w:rPr>
              <w:t xml:space="preserve"> Inc.)</w:t>
            </w:r>
          </w:p>
        </w:tc>
        <w:tc>
          <w:tcPr>
            <w:tcW w:w="0" w:type="dxa"/>
            <w:tcMar>
              <w:top w:w="85" w:type="dxa"/>
              <w:bottom w:w="85" w:type="dxa"/>
            </w:tcMar>
          </w:tcPr>
          <w:p w14:paraId="1977A92B" w14:textId="00269F83"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w:t>
            </w:r>
            <w:r w:rsidR="00C0032E" w:rsidRPr="0072753B">
              <w:rPr>
                <w:rFonts w:asciiTheme="majorHAnsi" w:hAnsiTheme="majorHAnsi" w:cstheme="majorHAnsi"/>
                <w:sz w:val="20"/>
                <w:szCs w:val="20"/>
              </w:rPr>
              <w:t>p</w:t>
            </w:r>
            <w:r w:rsidRPr="0072753B">
              <w:rPr>
                <w:rFonts w:asciiTheme="majorHAnsi" w:hAnsiTheme="majorHAnsi" w:cstheme="majorHAnsi"/>
                <w:sz w:val="20"/>
                <w:szCs w:val="20"/>
              </w:rPr>
              <w:t xml:space="preserve">roject works to integrate </w:t>
            </w:r>
            <w:r w:rsidR="001E36AD" w:rsidRPr="0072753B">
              <w:rPr>
                <w:rFonts w:asciiTheme="majorHAnsi" w:hAnsiTheme="majorHAnsi" w:cstheme="majorHAnsi"/>
                <w:sz w:val="20"/>
                <w:szCs w:val="20"/>
              </w:rPr>
              <w:t>gender-based</w:t>
            </w:r>
            <w:r w:rsidR="00421878" w:rsidRPr="0072753B">
              <w:rPr>
                <w:rFonts w:asciiTheme="majorHAnsi" w:hAnsiTheme="majorHAnsi" w:cstheme="majorHAnsi"/>
                <w:sz w:val="20"/>
                <w:szCs w:val="20"/>
              </w:rPr>
              <w:t xml:space="preserve"> violence (GBV)</w:t>
            </w:r>
            <w:r w:rsidRPr="0072753B">
              <w:rPr>
                <w:rFonts w:asciiTheme="majorHAnsi" w:hAnsiTheme="majorHAnsi" w:cstheme="majorHAnsi"/>
                <w:sz w:val="20"/>
                <w:szCs w:val="20"/>
              </w:rPr>
              <w:t xml:space="preserve"> prevention into Cook Islands primary and secondary schools’ curricula, sports club and churches</w:t>
            </w:r>
            <w:r w:rsidR="00421878" w:rsidRPr="0072753B">
              <w:rPr>
                <w:rFonts w:asciiTheme="majorHAnsi" w:hAnsiTheme="majorHAnsi" w:cstheme="majorHAnsi"/>
                <w:sz w:val="20"/>
                <w:szCs w:val="20"/>
              </w:rPr>
              <w:t xml:space="preserve"> and </w:t>
            </w:r>
            <w:r w:rsidRPr="0072753B">
              <w:rPr>
                <w:rFonts w:asciiTheme="majorHAnsi" w:hAnsiTheme="majorHAnsi" w:cstheme="majorHAnsi"/>
                <w:sz w:val="20"/>
                <w:szCs w:val="20"/>
              </w:rPr>
              <w:t xml:space="preserve">deliver GBV </w:t>
            </w:r>
            <w:r w:rsidRPr="0072753B">
              <w:rPr>
                <w:rFonts w:asciiTheme="majorHAnsi" w:hAnsiTheme="majorHAnsi" w:cstheme="majorHAnsi"/>
                <w:sz w:val="20"/>
                <w:szCs w:val="20"/>
              </w:rPr>
              <w:lastRenderedPageBreak/>
              <w:t>training, including for health care professionals. There is a focus on recruiting men as allies and conducting research into GBV in the Cook Islands.</w:t>
            </w:r>
          </w:p>
        </w:tc>
        <w:tc>
          <w:tcPr>
            <w:tcW w:w="0" w:type="dxa"/>
            <w:tcMar>
              <w:top w:w="85" w:type="dxa"/>
              <w:bottom w:w="85" w:type="dxa"/>
            </w:tcMar>
          </w:tcPr>
          <w:p w14:paraId="1EA19231"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Cook Islands</w:t>
            </w:r>
          </w:p>
        </w:tc>
        <w:tc>
          <w:tcPr>
            <w:tcW w:w="0" w:type="dxa"/>
          </w:tcPr>
          <w:p w14:paraId="1537B048" w14:textId="77777777" w:rsidR="00067731"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$380,110.99 </w:t>
            </w:r>
          </w:p>
          <w:p w14:paraId="2B6CBCBC"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77224CA" w14:textId="47087B3D"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30FA1BB2" w14:textId="766435E6"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1F5328F9"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55F7B58" w14:textId="771CB74F" w:rsidR="00DD7D07" w:rsidRPr="0072753B" w:rsidRDefault="00A62DB8"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7</w:t>
            </w:r>
          </w:p>
        </w:tc>
        <w:tc>
          <w:tcPr>
            <w:tcW w:w="0" w:type="dxa"/>
            <w:tcMar>
              <w:top w:w="85" w:type="dxa"/>
              <w:bottom w:w="85" w:type="dxa"/>
            </w:tcMar>
          </w:tcPr>
          <w:p w14:paraId="3B0BA567"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Eliminating Violence Against Women Services</w:t>
            </w:r>
          </w:p>
          <w:p w14:paraId="48D5305E"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(Chuuk Women’s Council)</w:t>
            </w:r>
          </w:p>
        </w:tc>
        <w:tc>
          <w:tcPr>
            <w:tcW w:w="0" w:type="dxa"/>
            <w:tcMar>
              <w:top w:w="85" w:type="dxa"/>
              <w:bottom w:w="85" w:type="dxa"/>
            </w:tcMar>
          </w:tcPr>
          <w:p w14:paraId="35AD58B8" w14:textId="2A9F23EE"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w:t>
            </w:r>
            <w:r w:rsidR="00C0032E" w:rsidRPr="0072753B">
              <w:rPr>
                <w:rFonts w:asciiTheme="majorHAnsi" w:hAnsiTheme="majorHAnsi" w:cstheme="majorHAnsi"/>
                <w:sz w:val="20"/>
                <w:szCs w:val="20"/>
              </w:rPr>
              <w:t>p</w:t>
            </w:r>
            <w:r w:rsidRPr="0072753B">
              <w:rPr>
                <w:rFonts w:asciiTheme="majorHAnsi" w:hAnsiTheme="majorHAnsi" w:cstheme="majorHAnsi"/>
                <w:sz w:val="20"/>
                <w:szCs w:val="20"/>
              </w:rPr>
              <w:t xml:space="preserve">roject supports Chuuk Women’s Council </w:t>
            </w:r>
            <w:r w:rsidR="00C0032E" w:rsidRPr="0072753B">
              <w:rPr>
                <w:rFonts w:asciiTheme="majorHAnsi" w:hAnsiTheme="majorHAnsi" w:cstheme="majorHAnsi"/>
                <w:sz w:val="20"/>
                <w:szCs w:val="20"/>
              </w:rPr>
              <w:t>(CWC)</w:t>
            </w:r>
            <w:r w:rsidRPr="0072753B">
              <w:rPr>
                <w:rFonts w:asciiTheme="majorHAnsi" w:hAnsiTheme="majorHAnsi" w:cstheme="majorHAnsi"/>
                <w:sz w:val="20"/>
                <w:szCs w:val="20"/>
              </w:rPr>
              <w:t xml:space="preserve"> to establish a gender-based violence (GBV) counselling service for women survivors of violence and enables CWC to raise community awareness about GBV, strengthen referral pathways, and provide counselling and legal support to survivors.</w:t>
            </w:r>
          </w:p>
        </w:tc>
        <w:tc>
          <w:tcPr>
            <w:tcW w:w="0" w:type="dxa"/>
            <w:tcMar>
              <w:top w:w="85" w:type="dxa"/>
              <w:bottom w:w="85" w:type="dxa"/>
            </w:tcMar>
          </w:tcPr>
          <w:p w14:paraId="56316B20"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tc>
        <w:tc>
          <w:tcPr>
            <w:tcW w:w="0" w:type="dxa"/>
          </w:tcPr>
          <w:p w14:paraId="40E79420"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$246,046.47</w:t>
            </w:r>
          </w:p>
          <w:p w14:paraId="0F2A5FE0"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ACDC74"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2022 – 2025</w:t>
            </w:r>
          </w:p>
        </w:tc>
        <w:tc>
          <w:tcPr>
            <w:tcW w:w="0" w:type="dxa"/>
          </w:tcPr>
          <w:p w14:paraId="6D92444D"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0BF21D34"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440F7F6" w14:textId="3899219B" w:rsidR="00736C17" w:rsidRPr="0072753B" w:rsidRDefault="00A62DB8"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8</w:t>
            </w:r>
          </w:p>
        </w:tc>
        <w:tc>
          <w:tcPr>
            <w:tcW w:w="0" w:type="dxa"/>
            <w:tcMar>
              <w:top w:w="85" w:type="dxa"/>
              <w:bottom w:w="85" w:type="dxa"/>
            </w:tcMar>
          </w:tcPr>
          <w:p w14:paraId="1B75640C" w14:textId="5C88C13A"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Empowering women and girls now for a resilient and prosper</w:t>
            </w:r>
            <w:r w:rsidR="00C0032E" w:rsidRPr="0072753B">
              <w:rPr>
                <w:rFonts w:asciiTheme="majorHAnsi" w:eastAsia="Arial" w:hAnsiTheme="majorHAnsi" w:cstheme="majorHAnsi"/>
                <w:color w:val="000000" w:themeColor="text1"/>
                <w:sz w:val="20"/>
                <w:szCs w:val="20"/>
              </w:rPr>
              <w:t>ous</w:t>
            </w:r>
            <w:r w:rsidRPr="0072753B">
              <w:rPr>
                <w:rFonts w:asciiTheme="majorHAnsi" w:eastAsia="Arial" w:hAnsiTheme="majorHAnsi" w:cstheme="majorHAnsi"/>
                <w:color w:val="000000" w:themeColor="text1"/>
                <w:sz w:val="20"/>
                <w:szCs w:val="20"/>
              </w:rPr>
              <w:t xml:space="preserve"> future</w:t>
            </w:r>
          </w:p>
          <w:p w14:paraId="018BE55F"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p>
          <w:p w14:paraId="6EEB2C26"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w:t>
            </w:r>
            <w:proofErr w:type="spellStart"/>
            <w:r w:rsidRPr="0072753B">
              <w:rPr>
                <w:rFonts w:asciiTheme="majorHAnsi" w:eastAsia="Arial" w:hAnsiTheme="majorHAnsi" w:cstheme="majorHAnsi"/>
                <w:color w:val="000000" w:themeColor="text1"/>
                <w:sz w:val="20"/>
                <w:szCs w:val="20"/>
              </w:rPr>
              <w:t>Fatu'Lei</w:t>
            </w:r>
            <w:proofErr w:type="spellEnd"/>
            <w:r w:rsidRPr="0072753B">
              <w:rPr>
                <w:rFonts w:asciiTheme="majorHAnsi" w:eastAsia="Arial" w:hAnsiTheme="majorHAnsi" w:cstheme="majorHAnsi"/>
                <w:color w:val="000000" w:themeColor="text1"/>
                <w:sz w:val="20"/>
                <w:szCs w:val="20"/>
              </w:rPr>
              <w:t>)</w:t>
            </w:r>
          </w:p>
        </w:tc>
        <w:tc>
          <w:tcPr>
            <w:tcW w:w="0" w:type="dxa"/>
            <w:tcMar>
              <w:top w:w="85" w:type="dxa"/>
              <w:bottom w:w="85" w:type="dxa"/>
            </w:tcMar>
          </w:tcPr>
          <w:p w14:paraId="4F09A850" w14:textId="4ADBD85D"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w:t>
            </w:r>
            <w:r w:rsidR="00C0032E" w:rsidRPr="0072753B">
              <w:rPr>
                <w:rFonts w:asciiTheme="majorHAnsi" w:hAnsiTheme="majorHAnsi" w:cstheme="majorHAnsi"/>
                <w:sz w:val="20"/>
                <w:szCs w:val="20"/>
              </w:rPr>
              <w:t>p</w:t>
            </w:r>
            <w:r w:rsidRPr="0072753B">
              <w:rPr>
                <w:rFonts w:asciiTheme="majorHAnsi" w:hAnsiTheme="majorHAnsi" w:cstheme="majorHAnsi"/>
                <w:sz w:val="20"/>
                <w:szCs w:val="20"/>
              </w:rPr>
              <w:t xml:space="preserve">roject focuses on advancing women’s rights, incorporating economic empowerment and access to health and women’s safety, including ending violence against </w:t>
            </w:r>
            <w:r w:rsidR="00D76821" w:rsidRPr="0072753B">
              <w:rPr>
                <w:rFonts w:asciiTheme="majorHAnsi" w:hAnsiTheme="majorHAnsi" w:cstheme="majorHAnsi"/>
                <w:sz w:val="20"/>
                <w:szCs w:val="20"/>
              </w:rPr>
              <w:t>women and girls</w:t>
            </w:r>
            <w:r w:rsidRPr="0072753B">
              <w:rPr>
                <w:rFonts w:asciiTheme="majorHAnsi" w:hAnsiTheme="majorHAnsi" w:cstheme="majorHAnsi"/>
                <w:sz w:val="20"/>
                <w:szCs w:val="20"/>
              </w:rPr>
              <w:t>.</w:t>
            </w:r>
          </w:p>
        </w:tc>
        <w:tc>
          <w:tcPr>
            <w:tcW w:w="0" w:type="dxa"/>
            <w:tcMar>
              <w:top w:w="85" w:type="dxa"/>
              <w:bottom w:w="85" w:type="dxa"/>
            </w:tcMar>
          </w:tcPr>
          <w:p w14:paraId="408AE9D7"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tc>
        <w:tc>
          <w:tcPr>
            <w:tcW w:w="0" w:type="dxa"/>
          </w:tcPr>
          <w:p w14:paraId="2C39C2B6"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$164,698.33</w:t>
            </w:r>
          </w:p>
          <w:p w14:paraId="3EEF7F48"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4F2CBB8"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2024 - 2025</w:t>
            </w:r>
          </w:p>
        </w:tc>
        <w:tc>
          <w:tcPr>
            <w:tcW w:w="0" w:type="dxa"/>
          </w:tcPr>
          <w:p w14:paraId="717E0E29" w14:textId="6EF2D212"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70CEEA0E"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257135A" w14:textId="289B6D37" w:rsidR="00736C17" w:rsidRPr="0072753B" w:rsidRDefault="00A62DB8"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9</w:t>
            </w:r>
          </w:p>
        </w:tc>
        <w:tc>
          <w:tcPr>
            <w:tcW w:w="0" w:type="dxa"/>
            <w:tcMar>
              <w:top w:w="85" w:type="dxa"/>
              <w:bottom w:w="85" w:type="dxa"/>
            </w:tcMar>
          </w:tcPr>
          <w:p w14:paraId="418E5E21"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Expansion of KWCSC’s Domestic Violence Counselling services and Psycho-social support to women and children in Rural Kiribati</w:t>
            </w:r>
          </w:p>
          <w:p w14:paraId="0DBDEA30"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p>
          <w:p w14:paraId="49CDF0E1"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(Kiribati Women and Children Support Centre - KWCSC)</w:t>
            </w:r>
          </w:p>
        </w:tc>
        <w:tc>
          <w:tcPr>
            <w:tcW w:w="0" w:type="dxa"/>
            <w:tcMar>
              <w:top w:w="85" w:type="dxa"/>
              <w:bottom w:w="85" w:type="dxa"/>
            </w:tcMar>
          </w:tcPr>
          <w:p w14:paraId="7C9EBF7A" w14:textId="7DF29BE0"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960D2B" w:rsidRPr="0072753B">
              <w:rPr>
                <w:rFonts w:asciiTheme="majorHAnsi" w:hAnsiTheme="majorHAnsi" w:cstheme="majorHAnsi"/>
                <w:sz w:val="20"/>
                <w:szCs w:val="20"/>
              </w:rPr>
              <w:t>e</w:t>
            </w:r>
            <w:r w:rsidRPr="0072753B">
              <w:rPr>
                <w:rFonts w:asciiTheme="majorHAnsi" w:hAnsiTheme="majorHAnsi" w:cstheme="majorHAnsi"/>
                <w:sz w:val="20"/>
                <w:szCs w:val="20"/>
              </w:rPr>
              <w:t xml:space="preserve"> project focuses on the expansion of the KWCSC’s Domestic Violence Counselling Services and psycho-social support for women and children in rural Kiribati. The project aims to extend its services to five outer islands, strengthening </w:t>
            </w:r>
            <w:r w:rsidRPr="0072753B">
              <w:rPr>
                <w:rFonts w:asciiTheme="majorHAnsi" w:hAnsiTheme="majorHAnsi" w:cstheme="majorHAnsi"/>
                <w:sz w:val="20"/>
                <w:szCs w:val="20"/>
              </w:rPr>
              <w:lastRenderedPageBreak/>
              <w:t>support for survivors of gender-based violence (GBV) and child abuse through the engagement of local councils and Women’s Interest Workers.</w:t>
            </w:r>
          </w:p>
        </w:tc>
        <w:tc>
          <w:tcPr>
            <w:tcW w:w="0" w:type="dxa"/>
            <w:tcMar>
              <w:top w:w="85" w:type="dxa"/>
              <w:bottom w:w="85" w:type="dxa"/>
            </w:tcMar>
          </w:tcPr>
          <w:p w14:paraId="7124A00E"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Kiribati</w:t>
            </w:r>
          </w:p>
        </w:tc>
        <w:tc>
          <w:tcPr>
            <w:tcW w:w="0" w:type="dxa"/>
          </w:tcPr>
          <w:p w14:paraId="251D394A"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$487,451.41</w:t>
            </w:r>
          </w:p>
          <w:p w14:paraId="6D2B9DA1"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D4B09D9"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 2025</w:t>
            </w:r>
          </w:p>
        </w:tc>
        <w:tc>
          <w:tcPr>
            <w:tcW w:w="0" w:type="dxa"/>
          </w:tcPr>
          <w:p w14:paraId="02C59417" w14:textId="54AFF8D5"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1ACE7DFF"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18C8D37" w14:textId="29313335" w:rsidR="00340635" w:rsidRPr="0072753B" w:rsidRDefault="001F51F6"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10</w:t>
            </w:r>
          </w:p>
        </w:tc>
        <w:tc>
          <w:tcPr>
            <w:tcW w:w="0" w:type="dxa"/>
            <w:tcMar>
              <w:top w:w="85" w:type="dxa"/>
              <w:bottom w:w="85" w:type="dxa"/>
            </w:tcMar>
          </w:tcPr>
          <w:p w14:paraId="6812529E"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Implementation of the 2014 Family Protection Act and Gender Analysis on the Cyber Crime Bill</w:t>
            </w:r>
          </w:p>
          <w:p w14:paraId="21F856DC"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F28F922"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(Ministry of Women, Youth, Children and Family Affairs (MWYCFA))</w:t>
            </w:r>
          </w:p>
        </w:tc>
        <w:tc>
          <w:tcPr>
            <w:tcW w:w="0" w:type="dxa"/>
            <w:tcMar>
              <w:top w:w="85" w:type="dxa"/>
              <w:bottom w:w="85" w:type="dxa"/>
            </w:tcMar>
          </w:tcPr>
          <w:p w14:paraId="71EA6491" w14:textId="7F3E469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works to establish one Domestic Violence Counselling Committee in 9 Provinces of Solomon Islands</w:t>
            </w:r>
            <w:r w:rsidR="002D098F" w:rsidRPr="0072753B">
              <w:rPr>
                <w:rFonts w:asciiTheme="majorHAnsi" w:hAnsiTheme="majorHAnsi" w:cstheme="majorHAnsi"/>
                <w:sz w:val="20"/>
                <w:szCs w:val="20"/>
              </w:rPr>
              <w:t xml:space="preserve">. </w:t>
            </w:r>
          </w:p>
        </w:tc>
        <w:tc>
          <w:tcPr>
            <w:tcW w:w="0" w:type="dxa"/>
            <w:tcMar>
              <w:top w:w="85" w:type="dxa"/>
              <w:bottom w:w="85" w:type="dxa"/>
            </w:tcMar>
          </w:tcPr>
          <w:p w14:paraId="4820F900"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0" w:type="dxa"/>
          </w:tcPr>
          <w:p w14:paraId="33FD4540"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eastAsia="Times New Roman" w:hAnsiTheme="majorHAnsi" w:cstheme="majorHAnsi"/>
                <w:color w:val="000000" w:themeColor="text1"/>
                <w:sz w:val="20"/>
                <w:szCs w:val="20"/>
              </w:rPr>
              <w:t xml:space="preserve">$395,213.63 </w:t>
            </w:r>
          </w:p>
          <w:p w14:paraId="16567055"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D203CAE" w14:textId="77777777"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eastAsia="Times New Roman" w:hAnsiTheme="majorHAnsi" w:cstheme="majorHAnsi"/>
                <w:color w:val="000000" w:themeColor="text1"/>
                <w:sz w:val="20"/>
                <w:szCs w:val="20"/>
              </w:rPr>
              <w:t>2024 – 2025</w:t>
            </w:r>
          </w:p>
        </w:tc>
        <w:tc>
          <w:tcPr>
            <w:tcW w:w="0" w:type="dxa"/>
          </w:tcPr>
          <w:p w14:paraId="28C4A3D9" w14:textId="48CC720D" w:rsidR="00340635" w:rsidRPr="0072753B" w:rsidRDefault="0034063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756F4038"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669FE98" w14:textId="6293A7EE" w:rsidR="001F0A32" w:rsidRPr="0072753B" w:rsidRDefault="00DE4A29"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11</w:t>
            </w:r>
          </w:p>
        </w:tc>
        <w:tc>
          <w:tcPr>
            <w:tcW w:w="0" w:type="dxa"/>
            <w:tcMar>
              <w:top w:w="85" w:type="dxa"/>
              <w:bottom w:w="85" w:type="dxa"/>
            </w:tcMar>
          </w:tcPr>
          <w:p w14:paraId="7B58BD65"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Just, Safe, Resilient and Empowered Pacific Communities</w:t>
            </w:r>
          </w:p>
          <w:p w14:paraId="1666C407"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F7B0F97"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Conference of Churches (PCC))</w:t>
            </w:r>
          </w:p>
        </w:tc>
        <w:tc>
          <w:tcPr>
            <w:tcW w:w="0" w:type="dxa"/>
            <w:tcMar>
              <w:top w:w="85" w:type="dxa"/>
              <w:bottom w:w="85" w:type="dxa"/>
            </w:tcMar>
          </w:tcPr>
          <w:p w14:paraId="2F1205E6" w14:textId="4C9845A8"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works to establish a reporting system for member churches to track and report on their gender equality performance, implement a Safe Church policy on zero tolerance of </w:t>
            </w:r>
            <w:r w:rsidR="00CD4B6D" w:rsidRPr="0072753B">
              <w:rPr>
                <w:rFonts w:asciiTheme="majorHAnsi" w:hAnsiTheme="majorHAnsi" w:cstheme="majorHAnsi"/>
                <w:sz w:val="20"/>
                <w:szCs w:val="20"/>
              </w:rPr>
              <w:t>violence against women and children</w:t>
            </w:r>
            <w:r w:rsidRPr="0072753B">
              <w:rPr>
                <w:rFonts w:asciiTheme="majorHAnsi" w:hAnsiTheme="majorHAnsi" w:cstheme="majorHAnsi"/>
                <w:sz w:val="20"/>
                <w:szCs w:val="20"/>
              </w:rPr>
              <w:t xml:space="preserve"> in church communities and the Code of Conduct and development and roll out of the Pacific regional faith-based EVAWG strategy. The Project also works to increase women’s participation and access in </w:t>
            </w:r>
            <w:r w:rsidR="00334D55" w:rsidRPr="0072753B">
              <w:rPr>
                <w:rFonts w:asciiTheme="majorHAnsi" w:hAnsiTheme="majorHAnsi" w:cstheme="majorHAnsi"/>
                <w:sz w:val="20"/>
                <w:szCs w:val="20"/>
              </w:rPr>
              <w:t>c</w:t>
            </w:r>
            <w:r w:rsidRPr="0072753B">
              <w:rPr>
                <w:rFonts w:asciiTheme="majorHAnsi" w:hAnsiTheme="majorHAnsi" w:cstheme="majorHAnsi"/>
                <w:sz w:val="20"/>
                <w:szCs w:val="20"/>
              </w:rPr>
              <w:t xml:space="preserve">hurch leadership and theology, collaboration of women theologians and national, regional </w:t>
            </w:r>
            <w:r w:rsidR="00334D55" w:rsidRPr="0072753B">
              <w:rPr>
                <w:rFonts w:asciiTheme="majorHAnsi" w:hAnsiTheme="majorHAnsi" w:cstheme="majorHAnsi"/>
                <w:sz w:val="20"/>
                <w:szCs w:val="20"/>
              </w:rPr>
              <w:t>f</w:t>
            </w:r>
            <w:r w:rsidRPr="0072753B">
              <w:rPr>
                <w:rFonts w:asciiTheme="majorHAnsi" w:hAnsiTheme="majorHAnsi" w:cstheme="majorHAnsi"/>
                <w:sz w:val="20"/>
                <w:szCs w:val="20"/>
              </w:rPr>
              <w:t xml:space="preserve">eminist </w:t>
            </w:r>
            <w:r w:rsidR="00334D55" w:rsidRPr="0072753B">
              <w:rPr>
                <w:rFonts w:asciiTheme="majorHAnsi" w:hAnsiTheme="majorHAnsi" w:cstheme="majorHAnsi"/>
                <w:sz w:val="20"/>
                <w:szCs w:val="20"/>
              </w:rPr>
              <w:t>o</w:t>
            </w:r>
            <w:r w:rsidR="00845E8E" w:rsidRPr="0072753B">
              <w:rPr>
                <w:rFonts w:asciiTheme="majorHAnsi" w:hAnsiTheme="majorHAnsi" w:cstheme="majorHAnsi"/>
                <w:sz w:val="20"/>
                <w:szCs w:val="20"/>
              </w:rPr>
              <w:t>rgani</w:t>
            </w:r>
            <w:r w:rsidR="0072753B" w:rsidRPr="0072753B">
              <w:rPr>
                <w:rFonts w:asciiTheme="majorHAnsi" w:hAnsiTheme="majorHAnsi" w:cstheme="majorHAnsi"/>
                <w:sz w:val="20"/>
                <w:szCs w:val="20"/>
              </w:rPr>
              <w:t>s</w:t>
            </w:r>
            <w:r w:rsidR="00845E8E" w:rsidRPr="0072753B">
              <w:rPr>
                <w:rFonts w:asciiTheme="majorHAnsi" w:hAnsiTheme="majorHAnsi" w:cstheme="majorHAnsi"/>
                <w:sz w:val="20"/>
                <w:szCs w:val="20"/>
              </w:rPr>
              <w:t>ations</w:t>
            </w:r>
            <w:r w:rsidR="00334D55" w:rsidRPr="0072753B">
              <w:rPr>
                <w:rFonts w:asciiTheme="majorHAnsi" w:hAnsiTheme="majorHAnsi" w:cstheme="majorHAnsi"/>
                <w:sz w:val="20"/>
                <w:szCs w:val="20"/>
              </w:rPr>
              <w:t xml:space="preserve"> and </w:t>
            </w:r>
            <w:r w:rsidRPr="0072753B">
              <w:rPr>
                <w:rFonts w:asciiTheme="majorHAnsi" w:hAnsiTheme="majorHAnsi" w:cstheme="majorHAnsi"/>
                <w:sz w:val="20"/>
                <w:szCs w:val="20"/>
              </w:rPr>
              <w:t xml:space="preserve">development of Church </w:t>
            </w:r>
            <w:r w:rsidR="00845E8E" w:rsidRPr="0072753B">
              <w:rPr>
                <w:rFonts w:asciiTheme="majorHAnsi" w:hAnsiTheme="majorHAnsi" w:cstheme="majorHAnsi"/>
                <w:sz w:val="20"/>
                <w:szCs w:val="20"/>
              </w:rPr>
              <w:lastRenderedPageBreak/>
              <w:t>programs</w:t>
            </w:r>
            <w:r w:rsidRPr="0072753B">
              <w:rPr>
                <w:rFonts w:asciiTheme="majorHAnsi" w:hAnsiTheme="majorHAnsi" w:cstheme="majorHAnsi"/>
                <w:sz w:val="20"/>
                <w:szCs w:val="20"/>
              </w:rPr>
              <w:t xml:space="preserve"> to address masculinity and violence.</w:t>
            </w:r>
          </w:p>
        </w:tc>
        <w:tc>
          <w:tcPr>
            <w:tcW w:w="0" w:type="dxa"/>
            <w:tcMar>
              <w:top w:w="85" w:type="dxa"/>
              <w:bottom w:w="85" w:type="dxa"/>
            </w:tcMar>
          </w:tcPr>
          <w:p w14:paraId="039E7724" w14:textId="77777777" w:rsidR="00EE3061"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All Pacific countries </w:t>
            </w:r>
          </w:p>
          <w:p w14:paraId="4E8AB953" w14:textId="77777777" w:rsidR="00EE3061"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West Papua American Samoa Australia</w:t>
            </w:r>
          </w:p>
          <w:p w14:paraId="61790DB6" w14:textId="3BC10A43"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New Zealand</w:t>
            </w:r>
          </w:p>
        </w:tc>
        <w:tc>
          <w:tcPr>
            <w:tcW w:w="0" w:type="dxa"/>
          </w:tcPr>
          <w:p w14:paraId="7C0FF20E"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$500,000</w:t>
            </w:r>
          </w:p>
          <w:p w14:paraId="0AC5F55B" w14:textId="77777777" w:rsidR="001F0A32"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6257AF" w14:textId="2687EC58" w:rsidR="007143EF" w:rsidRPr="0072753B" w:rsidRDefault="001F0A3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w:t>
            </w:r>
            <w:r w:rsidR="007143EF" w:rsidRPr="0072753B">
              <w:rPr>
                <w:rFonts w:asciiTheme="majorHAnsi" w:hAnsiTheme="majorHAnsi" w:cstheme="majorHAnsi"/>
                <w:sz w:val="20"/>
                <w:szCs w:val="20"/>
              </w:rPr>
              <w:t>–</w:t>
            </w:r>
            <w:r w:rsidRPr="0072753B">
              <w:rPr>
                <w:rFonts w:asciiTheme="majorHAnsi" w:hAnsiTheme="majorHAnsi" w:cstheme="majorHAnsi"/>
                <w:sz w:val="20"/>
                <w:szCs w:val="20"/>
              </w:rPr>
              <w:t xml:space="preserve"> 2025</w:t>
            </w:r>
          </w:p>
        </w:tc>
        <w:tc>
          <w:tcPr>
            <w:tcW w:w="0" w:type="dxa"/>
          </w:tcPr>
          <w:p w14:paraId="42CAB42F" w14:textId="6C701B66" w:rsidR="001F0A32" w:rsidRPr="0072753B" w:rsidRDefault="00A62DB8"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789213B6"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B47178D" w14:textId="494483A5" w:rsidR="00E37A55" w:rsidRPr="0072753B" w:rsidRDefault="00E057A9"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12</w:t>
            </w:r>
          </w:p>
        </w:tc>
        <w:tc>
          <w:tcPr>
            <w:tcW w:w="0" w:type="dxa"/>
            <w:tcMar>
              <w:top w:w="85" w:type="dxa"/>
              <w:bottom w:w="85" w:type="dxa"/>
            </w:tcMar>
          </w:tcPr>
          <w:p w14:paraId="115F3505"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Ni Vanuatu Women with Disabilities Leading Resilience to Disasters and Climate Change</w:t>
            </w:r>
          </w:p>
          <w:p w14:paraId="0C81CE85"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ADC85A7"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(ActionAid Vanuatu)</w:t>
            </w:r>
          </w:p>
          <w:p w14:paraId="2900407F"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p>
        </w:tc>
        <w:tc>
          <w:tcPr>
            <w:tcW w:w="0" w:type="dxa"/>
            <w:tcMar>
              <w:top w:w="85" w:type="dxa"/>
              <w:bottom w:w="85" w:type="dxa"/>
            </w:tcMar>
          </w:tcPr>
          <w:p w14:paraId="09B7001D"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empowers women with disabilities to claim their rights, improve their livelihoods, and strengthen their resilience. Using a train-the-trainer model, the project will equip women with disabilities to participate in emergency preparedness, recovery, and response through SMS blasts, phone tree networks, and sister circles, ensuring inclusive disaster resilience.</w:t>
            </w:r>
            <w:r w:rsidRPr="0072753B">
              <w:rPr>
                <w:rFonts w:asciiTheme="majorHAnsi" w:hAnsiTheme="majorHAnsi" w:cstheme="majorHAnsi"/>
                <w:sz w:val="20"/>
                <w:szCs w:val="20"/>
              </w:rPr>
              <w:tab/>
            </w:r>
          </w:p>
        </w:tc>
        <w:tc>
          <w:tcPr>
            <w:tcW w:w="0" w:type="dxa"/>
            <w:tcMar>
              <w:top w:w="85" w:type="dxa"/>
              <w:bottom w:w="85" w:type="dxa"/>
            </w:tcMar>
          </w:tcPr>
          <w:p w14:paraId="4C8BFFF2"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Pr>
          <w:p w14:paraId="31E6D596"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$500,000</w:t>
            </w:r>
          </w:p>
          <w:p w14:paraId="7F9C99D4"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5C65F04"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hAnsiTheme="majorHAnsi" w:cstheme="majorHAnsi"/>
                <w:sz w:val="20"/>
                <w:szCs w:val="20"/>
              </w:rPr>
              <w:t>2024–2025</w:t>
            </w:r>
          </w:p>
        </w:tc>
        <w:tc>
          <w:tcPr>
            <w:tcW w:w="0" w:type="dxa"/>
          </w:tcPr>
          <w:p w14:paraId="1637DFD1" w14:textId="4FF09361"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2652AF09"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7DCC724" w14:textId="738A45A9" w:rsidR="004217AF" w:rsidRPr="0072753B" w:rsidRDefault="00E057A9"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13</w:t>
            </w:r>
          </w:p>
        </w:tc>
        <w:tc>
          <w:tcPr>
            <w:tcW w:w="0" w:type="dxa"/>
            <w:tcMar>
              <w:top w:w="85" w:type="dxa"/>
              <w:bottom w:w="85" w:type="dxa"/>
            </w:tcMar>
          </w:tcPr>
          <w:p w14:paraId="7BD09587" w14:textId="78002E1A"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Organic Fertili</w:t>
            </w:r>
            <w:r w:rsidR="0072753B" w:rsidRPr="0072753B">
              <w:rPr>
                <w:rFonts w:asciiTheme="majorHAnsi" w:eastAsia="Arial" w:hAnsiTheme="majorHAnsi" w:cstheme="majorHAnsi"/>
                <w:color w:val="000000" w:themeColor="text1"/>
                <w:sz w:val="20"/>
                <w:szCs w:val="20"/>
              </w:rPr>
              <w:t>z</w:t>
            </w:r>
            <w:r w:rsidRPr="0072753B">
              <w:rPr>
                <w:rFonts w:asciiTheme="majorHAnsi" w:eastAsia="Arial" w:hAnsiTheme="majorHAnsi" w:cstheme="majorHAnsi"/>
                <w:color w:val="000000" w:themeColor="text1"/>
                <w:sz w:val="20"/>
                <w:szCs w:val="20"/>
              </w:rPr>
              <w:t>er to Improve Women Growers Harvests and Increase Income Earning Opportunities for Rural Women</w:t>
            </w:r>
          </w:p>
          <w:p w14:paraId="0C055A00"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p>
          <w:p w14:paraId="445A7283"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(Samoa Women's Association of Growers - SWAG)</w:t>
            </w:r>
          </w:p>
        </w:tc>
        <w:tc>
          <w:tcPr>
            <w:tcW w:w="0" w:type="dxa"/>
            <w:tcMar>
              <w:top w:w="85" w:type="dxa"/>
              <w:bottom w:w="85" w:type="dxa"/>
            </w:tcMar>
          </w:tcPr>
          <w:p w14:paraId="5CE7F47D" w14:textId="05DBECFF"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4E6DDA" w:rsidRPr="0072753B">
              <w:rPr>
                <w:rFonts w:asciiTheme="majorHAnsi" w:hAnsiTheme="majorHAnsi" w:cstheme="majorHAnsi"/>
                <w:sz w:val="20"/>
                <w:szCs w:val="20"/>
              </w:rPr>
              <w:t>e</w:t>
            </w:r>
            <w:r w:rsidRPr="0072753B">
              <w:rPr>
                <w:rFonts w:asciiTheme="majorHAnsi" w:hAnsiTheme="majorHAnsi" w:cstheme="majorHAnsi"/>
                <w:sz w:val="20"/>
                <w:szCs w:val="20"/>
              </w:rPr>
              <w:t xml:space="preserve"> project produces organic seaweed fertilizer to help increase economic opportunities for women in rural coastal communities.</w:t>
            </w:r>
          </w:p>
        </w:tc>
        <w:tc>
          <w:tcPr>
            <w:tcW w:w="0" w:type="dxa"/>
            <w:tcMar>
              <w:top w:w="85" w:type="dxa"/>
              <w:bottom w:w="85" w:type="dxa"/>
            </w:tcMar>
          </w:tcPr>
          <w:p w14:paraId="499B44A3"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tc>
        <w:tc>
          <w:tcPr>
            <w:tcW w:w="0" w:type="dxa"/>
          </w:tcPr>
          <w:p w14:paraId="64A50A43"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$440,568.93</w:t>
            </w:r>
          </w:p>
          <w:p w14:paraId="2A879F82"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FFEF8AC" w14:textId="77777777"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 – 2025</w:t>
            </w:r>
          </w:p>
        </w:tc>
        <w:tc>
          <w:tcPr>
            <w:tcW w:w="0" w:type="dxa"/>
          </w:tcPr>
          <w:p w14:paraId="6396AC09" w14:textId="609985C6" w:rsidR="004217AF" w:rsidRPr="0072753B" w:rsidRDefault="004217A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12022C" w:rsidRPr="0072753B" w14:paraId="47977240" w14:textId="77777777" w:rsidTr="00CA6E7B">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D70AE6E" w14:textId="7F0FAEF5" w:rsidR="00736C17" w:rsidRPr="0072753B" w:rsidRDefault="00E202E4"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14</w:t>
            </w:r>
          </w:p>
        </w:tc>
        <w:tc>
          <w:tcPr>
            <w:tcW w:w="0" w:type="dxa"/>
            <w:tcMar>
              <w:top w:w="85" w:type="dxa"/>
              <w:bottom w:w="85" w:type="dxa"/>
            </w:tcMar>
          </w:tcPr>
          <w:p w14:paraId="06E08549"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Girls Arise</w:t>
            </w:r>
          </w:p>
          <w:p w14:paraId="6E65F465"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85DAD58"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Women’s Rights Movement)</w:t>
            </w:r>
          </w:p>
        </w:tc>
        <w:tc>
          <w:tcPr>
            <w:tcW w:w="0" w:type="dxa"/>
            <w:tcMar>
              <w:top w:w="85" w:type="dxa"/>
              <w:bottom w:w="85" w:type="dxa"/>
            </w:tcMar>
          </w:tcPr>
          <w:p w14:paraId="760A04B5" w14:textId="0903B236"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Fiji Women's Rights Movement's (FWRM) Girls Arise program works with girls aged 10-12 to build their life skills and confidence. Pacific Girl will enable FWRM to extend activities to girls outside of the capital Suva, share the </w:t>
            </w:r>
            <w:r w:rsidR="00682454" w:rsidRPr="0072753B">
              <w:rPr>
                <w:rFonts w:asciiTheme="majorHAnsi" w:hAnsiTheme="majorHAnsi" w:cstheme="majorHAnsi"/>
                <w:sz w:val="20"/>
                <w:szCs w:val="20"/>
              </w:rPr>
              <w:t>organi</w:t>
            </w:r>
            <w:r w:rsidR="0072753B" w:rsidRPr="0072753B">
              <w:rPr>
                <w:rFonts w:asciiTheme="majorHAnsi" w:hAnsiTheme="majorHAnsi" w:cstheme="majorHAnsi"/>
                <w:sz w:val="20"/>
                <w:szCs w:val="20"/>
              </w:rPr>
              <w:t>s</w:t>
            </w:r>
            <w:r w:rsidR="00682454" w:rsidRPr="0072753B">
              <w:rPr>
                <w:rFonts w:asciiTheme="majorHAnsi" w:hAnsiTheme="majorHAnsi" w:cstheme="majorHAnsi"/>
                <w:sz w:val="20"/>
                <w:szCs w:val="20"/>
              </w:rPr>
              <w:t>ation’s</w:t>
            </w:r>
            <w:r w:rsidRPr="0072753B">
              <w:rPr>
                <w:rFonts w:asciiTheme="majorHAnsi" w:hAnsiTheme="majorHAnsi" w:cstheme="majorHAnsi"/>
                <w:sz w:val="20"/>
                <w:szCs w:val="20"/>
              </w:rPr>
              <w:t xml:space="preserve"> approach in a </w:t>
            </w:r>
            <w:r w:rsidRPr="0072753B">
              <w:rPr>
                <w:rFonts w:asciiTheme="majorHAnsi" w:hAnsiTheme="majorHAnsi" w:cstheme="majorHAnsi"/>
                <w:sz w:val="20"/>
                <w:szCs w:val="20"/>
              </w:rPr>
              <w:lastRenderedPageBreak/>
              <w:t>toolkit and raise the profile of girls' issues with decision-makers.</w:t>
            </w:r>
          </w:p>
        </w:tc>
        <w:tc>
          <w:tcPr>
            <w:tcW w:w="0" w:type="dxa"/>
            <w:tcMar>
              <w:top w:w="85" w:type="dxa"/>
              <w:bottom w:w="85" w:type="dxa"/>
            </w:tcMar>
          </w:tcPr>
          <w:p w14:paraId="7963924E"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p w14:paraId="7BF0B298"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5C005F96" w14:textId="1C3C0014" w:rsidR="00736C17" w:rsidRPr="0072753B" w:rsidRDefault="00A557C0"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$174,159.43 </w:t>
            </w:r>
          </w:p>
          <w:p w14:paraId="155FECC3"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C0AC491"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2021 – 2026</w:t>
            </w:r>
          </w:p>
        </w:tc>
        <w:tc>
          <w:tcPr>
            <w:tcW w:w="0" w:type="dxa"/>
          </w:tcPr>
          <w:p w14:paraId="6423AC57"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786D8BBE"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806E9A1" w14:textId="0BF25322" w:rsidR="00736C17" w:rsidRPr="0072753B" w:rsidRDefault="00E202E4"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15</w:t>
            </w:r>
          </w:p>
        </w:tc>
        <w:tc>
          <w:tcPr>
            <w:tcW w:w="0" w:type="dxa"/>
            <w:tcMar>
              <w:top w:w="85" w:type="dxa"/>
              <w:bottom w:w="85" w:type="dxa"/>
            </w:tcMar>
          </w:tcPr>
          <w:p w14:paraId="5C3D79F0"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Young Women's Empowerment Program</w:t>
            </w:r>
          </w:p>
          <w:p w14:paraId="3D7BCBB9"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1434263" w14:textId="7B8D0EAA"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Chuuk Women’s Council</w:t>
            </w:r>
            <w:r w:rsidR="009E47BF" w:rsidRPr="0072753B">
              <w:rPr>
                <w:rFonts w:asciiTheme="majorHAnsi" w:hAnsiTheme="majorHAnsi" w:cstheme="majorHAnsi"/>
                <w:sz w:val="20"/>
                <w:szCs w:val="20"/>
              </w:rPr>
              <w:t xml:space="preserve"> (CWC)</w:t>
            </w:r>
          </w:p>
        </w:tc>
        <w:tc>
          <w:tcPr>
            <w:tcW w:w="0" w:type="dxa"/>
            <w:tcMar>
              <w:top w:w="85" w:type="dxa"/>
              <w:bottom w:w="85" w:type="dxa"/>
            </w:tcMar>
          </w:tcPr>
          <w:p w14:paraId="1C56A310"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is a multi-country program designed to support adolescent girls in Pacific Island countries to achieve their full potential. Pacific Girl partners with CWC to empower 150 girls using a tailored curriculum that focuses on sexual and mental health, building healthy relationships, and setting future goals to support the girls' overall well-being and development.</w:t>
            </w:r>
          </w:p>
        </w:tc>
        <w:tc>
          <w:tcPr>
            <w:tcW w:w="0" w:type="dxa"/>
            <w:tcMar>
              <w:top w:w="85" w:type="dxa"/>
              <w:bottom w:w="85" w:type="dxa"/>
            </w:tcMar>
          </w:tcPr>
          <w:p w14:paraId="42BA6126"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tc>
        <w:tc>
          <w:tcPr>
            <w:tcW w:w="0" w:type="dxa"/>
          </w:tcPr>
          <w:p w14:paraId="032DBB76"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$73,430.45</w:t>
            </w:r>
          </w:p>
          <w:p w14:paraId="0C7D4A61"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D9B1AAC" w14:textId="3E09E941"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2021 – </w:t>
            </w:r>
            <w:r w:rsidR="00A8523D" w:rsidRPr="0072753B">
              <w:rPr>
                <w:rFonts w:asciiTheme="majorHAnsi" w:hAnsiTheme="majorHAnsi" w:cstheme="majorHAnsi"/>
                <w:sz w:val="20"/>
                <w:szCs w:val="20"/>
              </w:rPr>
              <w:t xml:space="preserve">2025 </w:t>
            </w:r>
          </w:p>
        </w:tc>
        <w:tc>
          <w:tcPr>
            <w:tcW w:w="0" w:type="dxa"/>
          </w:tcPr>
          <w:p w14:paraId="025B0222" w14:textId="6AE39401" w:rsidR="00736C17" w:rsidRPr="0072753B" w:rsidRDefault="00BC02C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Completed </w:t>
            </w:r>
            <w:r w:rsidR="00CA7CBA" w:rsidRPr="0072753B">
              <w:rPr>
                <w:rFonts w:asciiTheme="majorHAnsi" w:hAnsiTheme="majorHAnsi" w:cstheme="majorHAnsi"/>
                <w:sz w:val="20"/>
                <w:szCs w:val="20"/>
              </w:rPr>
              <w:t xml:space="preserve"> </w:t>
            </w:r>
          </w:p>
        </w:tc>
      </w:tr>
      <w:tr w:rsidR="0012022C" w:rsidRPr="0072753B" w14:paraId="5E3EB514" w14:textId="77777777" w:rsidTr="00CA6E7B">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D96FD7A" w14:textId="2FECC9F6" w:rsidR="00736C17" w:rsidRPr="0072753B" w:rsidRDefault="00EA5E94"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16</w:t>
            </w:r>
          </w:p>
        </w:tc>
        <w:tc>
          <w:tcPr>
            <w:tcW w:w="0" w:type="dxa"/>
            <w:tcMar>
              <w:top w:w="85" w:type="dxa"/>
              <w:bottom w:w="85" w:type="dxa"/>
            </w:tcMar>
          </w:tcPr>
          <w:p w14:paraId="4486E8B1"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Laef Blo Mi, Vois Blo mi</w:t>
            </w:r>
          </w:p>
          <w:p w14:paraId="0699B10F"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12A4F5C"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(CARE Vanuatu)</w:t>
            </w:r>
          </w:p>
        </w:tc>
        <w:tc>
          <w:tcPr>
            <w:tcW w:w="0" w:type="dxa"/>
            <w:tcMar>
              <w:top w:w="85" w:type="dxa"/>
              <w:bottom w:w="85" w:type="dxa"/>
            </w:tcMar>
          </w:tcPr>
          <w:p w14:paraId="5F335E20"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Pacific Girl is a multi-country program designed to support adolescent girls in Pacific Island countries to achieve their full potential. In Vanuatu, CARE’s Laef </w:t>
            </w:r>
            <w:proofErr w:type="spellStart"/>
            <w:r w:rsidRPr="0072753B">
              <w:rPr>
                <w:rFonts w:asciiTheme="majorHAnsi" w:hAnsiTheme="majorHAnsi" w:cstheme="majorHAnsi"/>
                <w:sz w:val="20"/>
                <w:szCs w:val="20"/>
              </w:rPr>
              <w:t>blo</w:t>
            </w:r>
            <w:proofErr w:type="spellEnd"/>
            <w:r w:rsidRPr="0072753B">
              <w:rPr>
                <w:rFonts w:asciiTheme="majorHAnsi" w:hAnsiTheme="majorHAnsi" w:cstheme="majorHAnsi"/>
                <w:sz w:val="20"/>
                <w:szCs w:val="20"/>
              </w:rPr>
              <w:t xml:space="preserve"> mi, Vois </w:t>
            </w:r>
            <w:proofErr w:type="spellStart"/>
            <w:r w:rsidRPr="0072753B">
              <w:rPr>
                <w:rFonts w:asciiTheme="majorHAnsi" w:hAnsiTheme="majorHAnsi" w:cstheme="majorHAnsi"/>
                <w:sz w:val="20"/>
                <w:szCs w:val="20"/>
              </w:rPr>
              <w:t>blo</w:t>
            </w:r>
            <w:proofErr w:type="spellEnd"/>
            <w:r w:rsidRPr="0072753B">
              <w:rPr>
                <w:rFonts w:asciiTheme="majorHAnsi" w:hAnsiTheme="majorHAnsi" w:cstheme="majorHAnsi"/>
                <w:sz w:val="20"/>
                <w:szCs w:val="20"/>
              </w:rPr>
              <w:t xml:space="preserve"> mi program works with girls aged 12–19 in rural and remote areas of Tafea Province. Through Pacific Girl, CARE will expand life skills and respectful relationships education to younger adolescents in schools, reaching approximately 800 girls. The program also engages male </w:t>
            </w:r>
            <w:r w:rsidRPr="0072753B">
              <w:rPr>
                <w:rFonts w:asciiTheme="majorHAnsi" w:hAnsiTheme="majorHAnsi" w:cstheme="majorHAnsi"/>
                <w:sz w:val="20"/>
                <w:szCs w:val="20"/>
              </w:rPr>
              <w:lastRenderedPageBreak/>
              <w:t>peers, teachers, and families to create a supportive environment where girls are safe and respected.</w:t>
            </w:r>
          </w:p>
        </w:tc>
        <w:tc>
          <w:tcPr>
            <w:tcW w:w="0" w:type="dxa"/>
            <w:tcMar>
              <w:top w:w="85" w:type="dxa"/>
              <w:bottom w:w="85" w:type="dxa"/>
            </w:tcMar>
          </w:tcPr>
          <w:p w14:paraId="50AEEC6F"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Vanuatu</w:t>
            </w:r>
          </w:p>
        </w:tc>
        <w:tc>
          <w:tcPr>
            <w:tcW w:w="0" w:type="dxa"/>
          </w:tcPr>
          <w:p w14:paraId="61B12CFF"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$752,702.64</w:t>
            </w:r>
          </w:p>
          <w:p w14:paraId="65182833" w14:textId="77777777"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ACB0624" w14:textId="1F18FAEA" w:rsidR="00736C17" w:rsidRPr="0072753B" w:rsidRDefault="00736C1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2021 – </w:t>
            </w:r>
            <w:r w:rsidR="009B3188" w:rsidRPr="0072753B">
              <w:rPr>
                <w:rFonts w:asciiTheme="majorHAnsi" w:hAnsiTheme="majorHAnsi" w:cstheme="majorHAnsi"/>
                <w:sz w:val="20"/>
                <w:szCs w:val="20"/>
              </w:rPr>
              <w:t xml:space="preserve">2024 </w:t>
            </w:r>
          </w:p>
        </w:tc>
        <w:tc>
          <w:tcPr>
            <w:tcW w:w="0" w:type="dxa"/>
          </w:tcPr>
          <w:p w14:paraId="09B77636" w14:textId="224FCBA5" w:rsidR="00736C17" w:rsidRPr="0072753B" w:rsidRDefault="0025498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Completed </w:t>
            </w:r>
          </w:p>
        </w:tc>
      </w:tr>
      <w:tr w:rsidR="0012022C" w:rsidRPr="0072753B" w14:paraId="07B51E54"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6B5BAB3" w14:textId="2651F5B1" w:rsidR="00736C17" w:rsidRPr="0072753B" w:rsidRDefault="00FF2B42"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17</w:t>
            </w:r>
          </w:p>
        </w:tc>
        <w:tc>
          <w:tcPr>
            <w:tcW w:w="0" w:type="dxa"/>
            <w:tcMar>
              <w:top w:w="85" w:type="dxa"/>
              <w:bottom w:w="85" w:type="dxa"/>
            </w:tcMar>
          </w:tcPr>
          <w:p w14:paraId="24C8373A"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My Body! My Rights!</w:t>
            </w:r>
          </w:p>
          <w:p w14:paraId="2FFB6983"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B0B9E54"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(Talitha Project Incorporated)</w:t>
            </w:r>
          </w:p>
        </w:tc>
        <w:tc>
          <w:tcPr>
            <w:tcW w:w="0" w:type="dxa"/>
            <w:tcMar>
              <w:top w:w="85" w:type="dxa"/>
              <w:bottom w:w="85" w:type="dxa"/>
            </w:tcMar>
          </w:tcPr>
          <w:p w14:paraId="67C5F140" w14:textId="0B469521"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Girl is a multi-country program designed to support adolescent girls in Pacific Island countries to achieve their full potential. The Talitha Project's My Body! My Rights! program aims to empower 375 girls aged 10 to 14 across four locations in Tonga, including outer islands. The program will enhance community perceptions of girls' value by amplifying their voices through creative media. It will also provide education on health, sexuality, and self-esteem, supporting girls to build confidence and advocate for their rights.</w:t>
            </w:r>
          </w:p>
        </w:tc>
        <w:tc>
          <w:tcPr>
            <w:tcW w:w="0" w:type="dxa"/>
            <w:tcMar>
              <w:top w:w="85" w:type="dxa"/>
              <w:bottom w:w="85" w:type="dxa"/>
            </w:tcMar>
          </w:tcPr>
          <w:p w14:paraId="2FC5244E"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tc>
        <w:tc>
          <w:tcPr>
            <w:tcW w:w="0" w:type="dxa"/>
          </w:tcPr>
          <w:p w14:paraId="390E8812"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$177,117.13</w:t>
            </w:r>
          </w:p>
          <w:p w14:paraId="7D86FC2B" w14:textId="77777777"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E84F176" w14:textId="6BB85E64" w:rsidR="00736C17" w:rsidRPr="0072753B" w:rsidRDefault="00736C1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2021 – </w:t>
            </w:r>
            <w:r w:rsidR="00AB5213" w:rsidRPr="0072753B">
              <w:rPr>
                <w:rFonts w:asciiTheme="majorHAnsi" w:hAnsiTheme="majorHAnsi" w:cstheme="majorHAnsi"/>
                <w:sz w:val="20"/>
                <w:szCs w:val="20"/>
              </w:rPr>
              <w:t xml:space="preserve">2024 </w:t>
            </w:r>
          </w:p>
        </w:tc>
        <w:tc>
          <w:tcPr>
            <w:tcW w:w="0" w:type="dxa"/>
          </w:tcPr>
          <w:p w14:paraId="0D300ED1" w14:textId="723451E8" w:rsidR="00736C17" w:rsidRPr="0072753B" w:rsidRDefault="00AB521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Completed </w:t>
            </w:r>
          </w:p>
        </w:tc>
      </w:tr>
      <w:tr w:rsidR="0012022C" w:rsidRPr="0072753B" w14:paraId="50DD63E2"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F8E0E96" w14:textId="572AD09D" w:rsidR="008D41F8" w:rsidRPr="0072753B" w:rsidRDefault="008D549A"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18</w:t>
            </w:r>
          </w:p>
        </w:tc>
        <w:tc>
          <w:tcPr>
            <w:tcW w:w="0" w:type="dxa"/>
            <w:tcMar>
              <w:top w:w="85" w:type="dxa"/>
              <w:bottom w:w="85" w:type="dxa"/>
            </w:tcMar>
          </w:tcPr>
          <w:p w14:paraId="77D24A69" w14:textId="445BBF72"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Progressing Gender Equality and Addressing Family Violence in F</w:t>
            </w:r>
            <w:r w:rsidR="000F5397" w:rsidRPr="0072753B">
              <w:rPr>
                <w:rFonts w:asciiTheme="majorHAnsi" w:hAnsiTheme="majorHAnsi" w:cstheme="majorHAnsi"/>
                <w:sz w:val="20"/>
                <w:szCs w:val="20"/>
              </w:rPr>
              <w:t xml:space="preserve">ederated </w:t>
            </w:r>
            <w:r w:rsidRPr="0072753B">
              <w:rPr>
                <w:rFonts w:asciiTheme="majorHAnsi" w:hAnsiTheme="majorHAnsi" w:cstheme="majorHAnsi"/>
                <w:sz w:val="20"/>
                <w:szCs w:val="20"/>
              </w:rPr>
              <w:t>S</w:t>
            </w:r>
            <w:r w:rsidR="000F5397" w:rsidRPr="0072753B">
              <w:rPr>
                <w:rFonts w:asciiTheme="majorHAnsi" w:hAnsiTheme="majorHAnsi" w:cstheme="majorHAnsi"/>
                <w:sz w:val="20"/>
                <w:szCs w:val="20"/>
              </w:rPr>
              <w:t xml:space="preserve">tates of </w:t>
            </w:r>
            <w:r w:rsidRPr="0072753B">
              <w:rPr>
                <w:rFonts w:asciiTheme="majorHAnsi" w:hAnsiTheme="majorHAnsi" w:cstheme="majorHAnsi"/>
                <w:sz w:val="20"/>
                <w:szCs w:val="20"/>
              </w:rPr>
              <w:t>M</w:t>
            </w:r>
            <w:r w:rsidR="000F5397" w:rsidRPr="0072753B">
              <w:rPr>
                <w:rFonts w:asciiTheme="majorHAnsi" w:hAnsiTheme="majorHAnsi" w:cstheme="majorHAnsi"/>
                <w:sz w:val="20"/>
                <w:szCs w:val="20"/>
              </w:rPr>
              <w:t>icronesia (</w:t>
            </w:r>
            <w:r w:rsidRPr="0072753B">
              <w:rPr>
                <w:rFonts w:asciiTheme="majorHAnsi" w:hAnsiTheme="majorHAnsi" w:cstheme="majorHAnsi"/>
                <w:sz w:val="20"/>
                <w:szCs w:val="20"/>
              </w:rPr>
              <w:t>FSM</w:t>
            </w:r>
            <w:r w:rsidR="000F5397" w:rsidRPr="0072753B">
              <w:rPr>
                <w:rFonts w:asciiTheme="majorHAnsi" w:hAnsiTheme="majorHAnsi" w:cstheme="majorHAnsi"/>
                <w:sz w:val="20"/>
                <w:szCs w:val="20"/>
              </w:rPr>
              <w:t>)</w:t>
            </w:r>
          </w:p>
          <w:p w14:paraId="597D87A4" w14:textId="77777777"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FC99531" w14:textId="339848A3"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t>
            </w:r>
            <w:r w:rsidR="00DE29C0" w:rsidRPr="0072753B">
              <w:rPr>
                <w:rFonts w:asciiTheme="majorHAnsi" w:hAnsiTheme="majorHAnsi" w:cstheme="majorHAnsi"/>
                <w:sz w:val="20"/>
                <w:szCs w:val="20"/>
              </w:rPr>
              <w:t xml:space="preserve">Department </w:t>
            </w:r>
            <w:r w:rsidRPr="0072753B">
              <w:rPr>
                <w:rFonts w:asciiTheme="majorHAnsi" w:hAnsiTheme="majorHAnsi" w:cstheme="majorHAnsi"/>
                <w:sz w:val="20"/>
                <w:szCs w:val="20"/>
              </w:rPr>
              <w:t>of Health and Social Affairs)</w:t>
            </w:r>
          </w:p>
        </w:tc>
        <w:tc>
          <w:tcPr>
            <w:tcW w:w="0" w:type="dxa"/>
            <w:tcMar>
              <w:top w:w="85" w:type="dxa"/>
              <w:bottom w:w="85" w:type="dxa"/>
            </w:tcMar>
          </w:tcPr>
          <w:p w14:paraId="336D40E2" w14:textId="77777777"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supports the FSM government to strengthen gender mainstreaming implementation and coordination, advance women's economic empowerment activities, and implement family protection legislation to prevent gender-based violence.</w:t>
            </w:r>
          </w:p>
        </w:tc>
        <w:tc>
          <w:tcPr>
            <w:tcW w:w="0" w:type="dxa"/>
            <w:tcMar>
              <w:top w:w="85" w:type="dxa"/>
              <w:bottom w:w="85" w:type="dxa"/>
            </w:tcMar>
          </w:tcPr>
          <w:p w14:paraId="015EEDE8" w14:textId="77777777"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tc>
        <w:tc>
          <w:tcPr>
            <w:tcW w:w="0" w:type="dxa"/>
          </w:tcPr>
          <w:p w14:paraId="31D97B8E" w14:textId="77777777"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$298,041.53 </w:t>
            </w:r>
          </w:p>
          <w:p w14:paraId="7F65B8BF" w14:textId="77777777"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C6D6BA2" w14:textId="558BCEF0" w:rsidR="008D41F8" w:rsidRPr="0072753B" w:rsidRDefault="008D41F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0CC73232" w14:textId="6A05EED7" w:rsidR="008D41F8" w:rsidRPr="0072753B" w:rsidRDefault="00082A40"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1E63B774" w14:textId="77777777" w:rsidTr="00CA6E7B">
        <w:trPr>
          <w:cnfStyle w:val="000000100000" w:firstRow="0" w:lastRow="0" w:firstColumn="0" w:lastColumn="0" w:oddVBand="0" w:evenVBand="0" w:oddHBand="1" w:evenHBand="0" w:firstRowFirstColumn="0" w:firstRowLastColumn="0" w:lastRowFirstColumn="0" w:lastRowLastColumn="0"/>
          <w:trHeight w:val="1795"/>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36E9159" w14:textId="0CDBBA7C" w:rsidR="00F251EA" w:rsidRPr="0072753B" w:rsidRDefault="002A0139"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19</w:t>
            </w:r>
          </w:p>
        </w:tc>
        <w:tc>
          <w:tcPr>
            <w:tcW w:w="0" w:type="dxa"/>
            <w:tcMar>
              <w:top w:w="85" w:type="dxa"/>
              <w:bottom w:w="85" w:type="dxa"/>
            </w:tcMar>
          </w:tcPr>
          <w:p w14:paraId="63CAD12E" w14:textId="456C2018"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2753B">
              <w:rPr>
                <w:rFonts w:asciiTheme="majorHAnsi" w:eastAsia="Arial" w:hAnsiTheme="majorHAnsi" w:cstheme="majorHAnsi"/>
                <w:color w:val="000000" w:themeColor="text1"/>
                <w:sz w:val="20"/>
                <w:szCs w:val="20"/>
              </w:rPr>
              <w:t xml:space="preserve">Raising </w:t>
            </w:r>
            <w:r w:rsidR="006C5174" w:rsidRPr="0072753B">
              <w:rPr>
                <w:rFonts w:asciiTheme="majorHAnsi" w:eastAsia="Arial" w:hAnsiTheme="majorHAnsi" w:cstheme="majorHAnsi"/>
                <w:color w:val="000000" w:themeColor="text1"/>
                <w:sz w:val="20"/>
                <w:szCs w:val="20"/>
              </w:rPr>
              <w:t>I</w:t>
            </w:r>
            <w:r w:rsidRPr="0072753B">
              <w:rPr>
                <w:rFonts w:asciiTheme="majorHAnsi" w:eastAsia="Arial" w:hAnsiTheme="majorHAnsi" w:cstheme="majorHAnsi"/>
                <w:color w:val="000000" w:themeColor="text1"/>
                <w:sz w:val="20"/>
                <w:szCs w:val="20"/>
              </w:rPr>
              <w:t xml:space="preserve">nnovative </w:t>
            </w:r>
            <w:r w:rsidR="006C5174" w:rsidRPr="0072753B">
              <w:rPr>
                <w:rFonts w:asciiTheme="majorHAnsi" w:eastAsia="Arial" w:hAnsiTheme="majorHAnsi" w:cstheme="majorHAnsi"/>
                <w:color w:val="000000" w:themeColor="text1"/>
                <w:sz w:val="20"/>
                <w:szCs w:val="20"/>
              </w:rPr>
              <w:t>S</w:t>
            </w:r>
            <w:r w:rsidRPr="0072753B">
              <w:rPr>
                <w:rFonts w:asciiTheme="majorHAnsi" w:eastAsia="Arial" w:hAnsiTheme="majorHAnsi" w:cstheme="majorHAnsi"/>
                <w:color w:val="000000" w:themeColor="text1"/>
                <w:sz w:val="20"/>
                <w:szCs w:val="20"/>
              </w:rPr>
              <w:t xml:space="preserve">port </w:t>
            </w:r>
            <w:r w:rsidR="00E20553" w:rsidRPr="0072753B">
              <w:rPr>
                <w:rFonts w:asciiTheme="majorHAnsi" w:eastAsia="Arial" w:hAnsiTheme="majorHAnsi" w:cstheme="majorHAnsi"/>
                <w:color w:val="000000" w:themeColor="text1"/>
                <w:sz w:val="20"/>
                <w:szCs w:val="20"/>
              </w:rPr>
              <w:t>E</w:t>
            </w:r>
            <w:r w:rsidRPr="0072753B">
              <w:rPr>
                <w:rFonts w:asciiTheme="majorHAnsi" w:eastAsia="Arial" w:hAnsiTheme="majorHAnsi" w:cstheme="majorHAnsi"/>
                <w:color w:val="000000" w:themeColor="text1"/>
                <w:sz w:val="20"/>
                <w:szCs w:val="20"/>
              </w:rPr>
              <w:t xml:space="preserve">nablers (RISE) </w:t>
            </w:r>
          </w:p>
          <w:p w14:paraId="76C7C758" w14:textId="77777777"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p>
          <w:p w14:paraId="693781EA" w14:textId="77777777"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(Palau National Olympic Committee)</w:t>
            </w:r>
          </w:p>
        </w:tc>
        <w:tc>
          <w:tcPr>
            <w:tcW w:w="0" w:type="dxa"/>
            <w:tcMar>
              <w:top w:w="85" w:type="dxa"/>
              <w:bottom w:w="85" w:type="dxa"/>
            </w:tcMar>
          </w:tcPr>
          <w:p w14:paraId="117FCD18" w14:textId="77777777"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aims to enhance women's leadership and economic empowerment through sports, fostering pathways for women to excel in executive, coaching, and entrepreneurial roles. The project supports women leaders, engages male champions to challenge stereotypes and promotes positive messaging about women’s leadership.</w:t>
            </w:r>
          </w:p>
        </w:tc>
        <w:tc>
          <w:tcPr>
            <w:tcW w:w="0" w:type="dxa"/>
            <w:tcMar>
              <w:top w:w="85" w:type="dxa"/>
              <w:bottom w:w="85" w:type="dxa"/>
            </w:tcMar>
          </w:tcPr>
          <w:p w14:paraId="6EEBD873" w14:textId="77777777"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tc>
        <w:tc>
          <w:tcPr>
            <w:tcW w:w="0" w:type="dxa"/>
          </w:tcPr>
          <w:p w14:paraId="68DB9F99" w14:textId="34704C4B"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$438,564</w:t>
            </w:r>
            <w:r w:rsidR="00E20553" w:rsidRPr="0072753B">
              <w:rPr>
                <w:rFonts w:asciiTheme="majorHAnsi" w:hAnsiTheme="majorHAnsi" w:cstheme="majorHAnsi"/>
                <w:sz w:val="20"/>
                <w:szCs w:val="20"/>
              </w:rPr>
              <w:t>.08</w:t>
            </w:r>
          </w:p>
          <w:p w14:paraId="4C86991B" w14:textId="77777777"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2AC898E" w14:textId="77879326"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w:t>
            </w:r>
            <w:r w:rsidR="00E46CFF"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2025</w:t>
            </w:r>
          </w:p>
        </w:tc>
        <w:tc>
          <w:tcPr>
            <w:tcW w:w="0" w:type="dxa"/>
          </w:tcPr>
          <w:p w14:paraId="10260A3E" w14:textId="2571A08C" w:rsidR="00F251EA" w:rsidRPr="0072753B" w:rsidRDefault="00F251EA"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4CAE68DD"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1D0C2BC" w14:textId="6859F1CD" w:rsidR="00067731"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20</w:t>
            </w:r>
          </w:p>
        </w:tc>
        <w:tc>
          <w:tcPr>
            <w:tcW w:w="0" w:type="dxa"/>
            <w:tcMar>
              <w:top w:w="85" w:type="dxa"/>
              <w:bottom w:w="85" w:type="dxa"/>
            </w:tcMar>
          </w:tcPr>
          <w:p w14:paraId="40CB5354" w14:textId="4B9BD6E1" w:rsidR="00067731" w:rsidRPr="0072753B" w:rsidRDefault="00CF719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Reali</w:t>
            </w:r>
            <w:r w:rsidR="0072753B" w:rsidRPr="0072753B">
              <w:rPr>
                <w:rFonts w:asciiTheme="majorHAnsi" w:hAnsiTheme="majorHAnsi" w:cstheme="majorHAnsi"/>
                <w:sz w:val="20"/>
                <w:szCs w:val="20"/>
              </w:rPr>
              <w:t>s</w:t>
            </w:r>
            <w:r w:rsidRPr="0072753B">
              <w:rPr>
                <w:rFonts w:asciiTheme="majorHAnsi" w:hAnsiTheme="majorHAnsi" w:cstheme="majorHAnsi"/>
                <w:sz w:val="20"/>
                <w:szCs w:val="20"/>
              </w:rPr>
              <w:t>ing</w:t>
            </w:r>
            <w:r w:rsidR="00067731" w:rsidRPr="0072753B">
              <w:rPr>
                <w:rFonts w:asciiTheme="majorHAnsi" w:hAnsiTheme="majorHAnsi" w:cstheme="majorHAnsi"/>
                <w:sz w:val="20"/>
                <w:szCs w:val="20"/>
              </w:rPr>
              <w:t xml:space="preserve"> </w:t>
            </w:r>
            <w:r w:rsidR="00395B0C" w:rsidRPr="0072753B">
              <w:rPr>
                <w:rFonts w:asciiTheme="majorHAnsi" w:hAnsiTheme="majorHAnsi" w:cstheme="majorHAnsi"/>
                <w:sz w:val="20"/>
                <w:szCs w:val="20"/>
              </w:rPr>
              <w:t>w</w:t>
            </w:r>
            <w:r w:rsidR="00067731" w:rsidRPr="0072753B">
              <w:rPr>
                <w:rFonts w:asciiTheme="majorHAnsi" w:hAnsiTheme="majorHAnsi" w:cstheme="majorHAnsi"/>
                <w:sz w:val="20"/>
                <w:szCs w:val="20"/>
              </w:rPr>
              <w:t xml:space="preserve">omen’s </w:t>
            </w:r>
            <w:r w:rsidR="00395B0C" w:rsidRPr="0072753B">
              <w:rPr>
                <w:rFonts w:asciiTheme="majorHAnsi" w:hAnsiTheme="majorHAnsi" w:cstheme="majorHAnsi"/>
                <w:sz w:val="20"/>
                <w:szCs w:val="20"/>
              </w:rPr>
              <w:t>ri</w:t>
            </w:r>
            <w:r w:rsidR="00067731" w:rsidRPr="0072753B">
              <w:rPr>
                <w:rFonts w:asciiTheme="majorHAnsi" w:hAnsiTheme="majorHAnsi" w:cstheme="majorHAnsi"/>
                <w:sz w:val="20"/>
                <w:szCs w:val="20"/>
              </w:rPr>
              <w:t xml:space="preserve">ghts and to </w:t>
            </w:r>
            <w:r w:rsidR="00395B0C" w:rsidRPr="0072753B">
              <w:rPr>
                <w:rFonts w:asciiTheme="majorHAnsi" w:hAnsiTheme="majorHAnsi" w:cstheme="majorHAnsi"/>
                <w:sz w:val="20"/>
                <w:szCs w:val="20"/>
              </w:rPr>
              <w:t>i</w:t>
            </w:r>
            <w:r w:rsidR="00067731" w:rsidRPr="0072753B">
              <w:rPr>
                <w:rFonts w:asciiTheme="majorHAnsi" w:hAnsiTheme="majorHAnsi" w:cstheme="majorHAnsi"/>
                <w:sz w:val="20"/>
                <w:szCs w:val="20"/>
              </w:rPr>
              <w:t xml:space="preserve">ncrease the </w:t>
            </w:r>
            <w:r w:rsidR="00395B0C" w:rsidRPr="0072753B">
              <w:rPr>
                <w:rFonts w:asciiTheme="majorHAnsi" w:hAnsiTheme="majorHAnsi" w:cstheme="majorHAnsi"/>
                <w:sz w:val="20"/>
                <w:szCs w:val="20"/>
              </w:rPr>
              <w:t>e</w:t>
            </w:r>
            <w:r w:rsidR="00067731" w:rsidRPr="0072753B">
              <w:rPr>
                <w:rFonts w:asciiTheme="majorHAnsi" w:hAnsiTheme="majorHAnsi" w:cstheme="majorHAnsi"/>
                <w:sz w:val="20"/>
                <w:szCs w:val="20"/>
              </w:rPr>
              <w:t xml:space="preserve">ffectiveness of </w:t>
            </w:r>
            <w:r w:rsidR="00395B0C" w:rsidRPr="0072753B">
              <w:rPr>
                <w:rFonts w:asciiTheme="majorHAnsi" w:hAnsiTheme="majorHAnsi" w:cstheme="majorHAnsi"/>
                <w:sz w:val="20"/>
                <w:szCs w:val="20"/>
              </w:rPr>
              <w:t>g</w:t>
            </w:r>
            <w:r w:rsidR="00067731" w:rsidRPr="0072753B">
              <w:rPr>
                <w:rFonts w:asciiTheme="majorHAnsi" w:hAnsiTheme="majorHAnsi" w:cstheme="majorHAnsi"/>
                <w:sz w:val="20"/>
                <w:szCs w:val="20"/>
              </w:rPr>
              <w:t xml:space="preserve">ender </w:t>
            </w:r>
            <w:r w:rsidR="00395B0C" w:rsidRPr="0072753B">
              <w:rPr>
                <w:rFonts w:asciiTheme="majorHAnsi" w:hAnsiTheme="majorHAnsi" w:cstheme="majorHAnsi"/>
                <w:sz w:val="20"/>
                <w:szCs w:val="20"/>
              </w:rPr>
              <w:t>e</w:t>
            </w:r>
            <w:r w:rsidR="00067731" w:rsidRPr="0072753B">
              <w:rPr>
                <w:rFonts w:asciiTheme="majorHAnsi" w:hAnsiTheme="majorHAnsi" w:cstheme="majorHAnsi"/>
                <w:sz w:val="20"/>
                <w:szCs w:val="20"/>
              </w:rPr>
              <w:t xml:space="preserve">quality in </w:t>
            </w:r>
            <w:r w:rsidR="00395B0C" w:rsidRPr="0072753B">
              <w:rPr>
                <w:rFonts w:asciiTheme="majorHAnsi" w:hAnsiTheme="majorHAnsi" w:cstheme="majorHAnsi"/>
                <w:sz w:val="20"/>
                <w:szCs w:val="20"/>
              </w:rPr>
              <w:t>the</w:t>
            </w:r>
            <w:r w:rsidR="00067731" w:rsidRPr="0072753B">
              <w:rPr>
                <w:rFonts w:asciiTheme="majorHAnsi" w:hAnsiTheme="majorHAnsi" w:cstheme="majorHAnsi"/>
                <w:sz w:val="20"/>
                <w:szCs w:val="20"/>
              </w:rPr>
              <w:t xml:space="preserve"> Melanesian Spearhead Group (MSG)</w:t>
            </w:r>
          </w:p>
          <w:p w14:paraId="53489DBA"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D7BBBE" w14:textId="04FD34E5"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t>
            </w:r>
            <w:r w:rsidR="005A6D48" w:rsidRPr="0072753B">
              <w:rPr>
                <w:rFonts w:asciiTheme="majorHAnsi" w:hAnsiTheme="majorHAnsi" w:cstheme="majorHAnsi"/>
                <w:sz w:val="20"/>
                <w:szCs w:val="20"/>
              </w:rPr>
              <w:t>Melanesian</w:t>
            </w:r>
            <w:r w:rsidRPr="0072753B">
              <w:rPr>
                <w:rFonts w:asciiTheme="majorHAnsi" w:hAnsiTheme="majorHAnsi" w:cstheme="majorHAnsi"/>
                <w:sz w:val="20"/>
                <w:szCs w:val="20"/>
              </w:rPr>
              <w:t xml:space="preserve"> Spearhead Group (MSG))</w:t>
            </w:r>
          </w:p>
        </w:tc>
        <w:tc>
          <w:tcPr>
            <w:tcW w:w="0" w:type="dxa"/>
            <w:tcMar>
              <w:top w:w="85" w:type="dxa"/>
              <w:bottom w:w="85" w:type="dxa"/>
            </w:tcMar>
          </w:tcPr>
          <w:p w14:paraId="264A3354" w14:textId="63906E9C"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supports the recruitment of a GESI Adviser, Research Officers in Solomon Islands and Vanuatu for women MPs and works in advancing women’s economic empowerment through trade</w:t>
            </w:r>
            <w:r w:rsidR="00395B0C" w:rsidRPr="0072753B">
              <w:rPr>
                <w:rFonts w:asciiTheme="majorHAnsi" w:hAnsiTheme="majorHAnsi" w:cstheme="majorHAnsi"/>
                <w:sz w:val="20"/>
                <w:szCs w:val="20"/>
              </w:rPr>
              <w:t>,</w:t>
            </w:r>
            <w:r w:rsidRPr="0072753B">
              <w:rPr>
                <w:rFonts w:asciiTheme="majorHAnsi" w:hAnsiTheme="majorHAnsi" w:cstheme="majorHAnsi"/>
                <w:sz w:val="20"/>
                <w:szCs w:val="20"/>
              </w:rPr>
              <w:t xml:space="preserve"> value chain training and market</w:t>
            </w:r>
            <w:r w:rsidR="00395B0C" w:rsidRPr="0072753B">
              <w:rPr>
                <w:rFonts w:asciiTheme="majorHAnsi" w:hAnsiTheme="majorHAnsi" w:cstheme="majorHAnsi"/>
                <w:sz w:val="20"/>
                <w:szCs w:val="20"/>
              </w:rPr>
              <w:t>’s</w:t>
            </w:r>
            <w:r w:rsidRPr="0072753B">
              <w:rPr>
                <w:rFonts w:asciiTheme="majorHAnsi" w:hAnsiTheme="majorHAnsi" w:cstheme="majorHAnsi"/>
                <w:sz w:val="20"/>
                <w:szCs w:val="20"/>
              </w:rPr>
              <w:t xml:space="preserve"> initiative. It also works to </w:t>
            </w:r>
            <w:r w:rsidR="00682454" w:rsidRPr="0072753B">
              <w:rPr>
                <w:rFonts w:asciiTheme="majorHAnsi" w:hAnsiTheme="majorHAnsi" w:cstheme="majorHAnsi"/>
                <w:sz w:val="20"/>
                <w:szCs w:val="20"/>
              </w:rPr>
              <w:t>finali</w:t>
            </w:r>
            <w:r w:rsidR="0072753B" w:rsidRPr="0072753B">
              <w:rPr>
                <w:rFonts w:asciiTheme="majorHAnsi" w:hAnsiTheme="majorHAnsi" w:cstheme="majorHAnsi"/>
                <w:sz w:val="20"/>
                <w:szCs w:val="20"/>
              </w:rPr>
              <w:t>s</w:t>
            </w:r>
            <w:r w:rsidR="00682454" w:rsidRPr="0072753B">
              <w:rPr>
                <w:rFonts w:asciiTheme="majorHAnsi" w:hAnsiTheme="majorHAnsi" w:cstheme="majorHAnsi"/>
                <w:sz w:val="20"/>
                <w:szCs w:val="20"/>
              </w:rPr>
              <w:t>e</w:t>
            </w:r>
            <w:r w:rsidRPr="0072753B">
              <w:rPr>
                <w:rFonts w:asciiTheme="majorHAnsi" w:hAnsiTheme="majorHAnsi" w:cstheme="majorHAnsi"/>
                <w:sz w:val="20"/>
                <w:szCs w:val="20"/>
              </w:rPr>
              <w:t xml:space="preserve"> the MSG GESI Policy.</w:t>
            </w:r>
          </w:p>
        </w:tc>
        <w:tc>
          <w:tcPr>
            <w:tcW w:w="0" w:type="dxa"/>
            <w:tcMar>
              <w:top w:w="85" w:type="dxa"/>
              <w:bottom w:w="85" w:type="dxa"/>
            </w:tcMar>
          </w:tcPr>
          <w:p w14:paraId="420CBE5E"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 Vanuatu</w:t>
            </w:r>
          </w:p>
          <w:p w14:paraId="079FE60D" w14:textId="783C5E60" w:rsidR="00745B51" w:rsidRPr="0072753B" w:rsidRDefault="00F02594"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tc>
        <w:tc>
          <w:tcPr>
            <w:tcW w:w="0" w:type="dxa"/>
          </w:tcPr>
          <w:p w14:paraId="1C492D9B"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$402,000 </w:t>
            </w:r>
          </w:p>
          <w:p w14:paraId="3E676595"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FB0C98A" w14:textId="77777777" w:rsidR="00067731" w:rsidRPr="0072753B" w:rsidRDefault="00067731"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5C3086C0" w14:textId="0093ED94" w:rsidR="00067731" w:rsidRPr="0072753B" w:rsidRDefault="00A62DB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0323FBD2"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8C9A93B" w14:textId="7D5D5486" w:rsidR="00DB7673"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21</w:t>
            </w:r>
          </w:p>
        </w:tc>
        <w:tc>
          <w:tcPr>
            <w:tcW w:w="0" w:type="dxa"/>
            <w:tcMar>
              <w:top w:w="85" w:type="dxa"/>
              <w:bottom w:w="85" w:type="dxa"/>
            </w:tcMar>
          </w:tcPr>
          <w:p w14:paraId="7B6E06AF"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sidRPr="0072753B">
              <w:rPr>
                <w:rFonts w:asciiTheme="majorHAnsi" w:hAnsiTheme="majorHAnsi" w:cstheme="majorHAnsi"/>
                <w:sz w:val="20"/>
                <w:szCs w:val="20"/>
              </w:rPr>
              <w:t>Sanap</w:t>
            </w:r>
            <w:proofErr w:type="spellEnd"/>
            <w:r w:rsidRPr="0072753B">
              <w:rPr>
                <w:rFonts w:asciiTheme="majorHAnsi" w:hAnsiTheme="majorHAnsi" w:cstheme="majorHAnsi"/>
                <w:sz w:val="20"/>
                <w:szCs w:val="20"/>
              </w:rPr>
              <w:t xml:space="preserve"> Strong, Standing up strong together for a zero-tolerance approach to GBV, Family &amp; Sexual violence, and Child Harm</w:t>
            </w:r>
          </w:p>
          <w:p w14:paraId="47036800"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8B9AEB9"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(Kokoda Track Foundation)</w:t>
            </w:r>
          </w:p>
        </w:tc>
        <w:tc>
          <w:tcPr>
            <w:tcW w:w="0" w:type="dxa"/>
            <w:tcMar>
              <w:top w:w="85" w:type="dxa"/>
              <w:bottom w:w="85" w:type="dxa"/>
            </w:tcMar>
          </w:tcPr>
          <w:p w14:paraId="3670F089" w14:textId="7D499388" w:rsidR="00DB7673" w:rsidRPr="0072753B" w:rsidRDefault="00ED4CAE"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will establish an accessible and essential case management service that provides counselling support, medical care, and assistance with justice processes and repatriation. </w:t>
            </w:r>
          </w:p>
        </w:tc>
        <w:tc>
          <w:tcPr>
            <w:tcW w:w="0" w:type="dxa"/>
            <w:tcMar>
              <w:top w:w="85" w:type="dxa"/>
              <w:bottom w:w="85" w:type="dxa"/>
            </w:tcMar>
          </w:tcPr>
          <w:p w14:paraId="25C87EE1"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tc>
        <w:tc>
          <w:tcPr>
            <w:tcW w:w="0" w:type="dxa"/>
          </w:tcPr>
          <w:p w14:paraId="17B83FAE"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$497,899.25 </w:t>
            </w:r>
          </w:p>
          <w:p w14:paraId="126FA3B2"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FE7A0F4" w14:textId="77777777" w:rsidR="00DB7673" w:rsidRPr="0072753B" w:rsidRDefault="00DB767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5416A0CF" w14:textId="3DDDAB01" w:rsidR="00DB7673" w:rsidRPr="0072753B" w:rsidRDefault="00245A39"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Ongoing </w:t>
            </w:r>
          </w:p>
        </w:tc>
      </w:tr>
      <w:tr w:rsidR="0012022C" w:rsidRPr="0072753B" w14:paraId="61F7CCFA"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6ACFAA0" w14:textId="34002367" w:rsidR="00E37A55"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22</w:t>
            </w:r>
          </w:p>
        </w:tc>
        <w:tc>
          <w:tcPr>
            <w:tcW w:w="0" w:type="dxa"/>
            <w:tcMar>
              <w:top w:w="85" w:type="dxa"/>
              <w:bottom w:w="85" w:type="dxa"/>
            </w:tcMar>
          </w:tcPr>
          <w:p w14:paraId="2517A60A"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Sarah Safe Home: Temporary Shelter for Survivors of Gender Based Violence</w:t>
            </w:r>
          </w:p>
          <w:p w14:paraId="1749A647"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p>
          <w:p w14:paraId="7F7CA0B2"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eastAsia="Arial" w:hAnsiTheme="majorHAnsi" w:cstheme="majorHAnsi"/>
                <w:color w:val="000000" w:themeColor="text1"/>
                <w:sz w:val="20"/>
                <w:szCs w:val="20"/>
              </w:rPr>
              <w:t xml:space="preserve">(House of Sarah - </w:t>
            </w:r>
            <w:proofErr w:type="spellStart"/>
            <w:r w:rsidRPr="0072753B">
              <w:rPr>
                <w:rFonts w:asciiTheme="majorHAnsi" w:eastAsia="Arial" w:hAnsiTheme="majorHAnsi" w:cstheme="majorHAnsi"/>
                <w:color w:val="000000" w:themeColor="text1"/>
                <w:sz w:val="20"/>
                <w:szCs w:val="20"/>
              </w:rPr>
              <w:t>HoS</w:t>
            </w:r>
            <w:proofErr w:type="spellEnd"/>
            <w:r w:rsidRPr="0072753B">
              <w:rPr>
                <w:rFonts w:asciiTheme="majorHAnsi" w:eastAsia="Arial" w:hAnsiTheme="majorHAnsi" w:cstheme="majorHAnsi"/>
                <w:color w:val="000000" w:themeColor="text1"/>
                <w:sz w:val="20"/>
                <w:szCs w:val="20"/>
              </w:rPr>
              <w:t>)</w:t>
            </w:r>
          </w:p>
        </w:tc>
        <w:tc>
          <w:tcPr>
            <w:tcW w:w="0" w:type="dxa"/>
            <w:tcMar>
              <w:top w:w="85" w:type="dxa"/>
              <w:bottom w:w="85" w:type="dxa"/>
            </w:tcMar>
          </w:tcPr>
          <w:p w14:paraId="6B2DC1A0" w14:textId="68FFAFC5"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w:t>
            </w:r>
            <w:r w:rsidR="00C85EAC" w:rsidRPr="0072753B">
              <w:rPr>
                <w:rFonts w:asciiTheme="majorHAnsi" w:hAnsiTheme="majorHAnsi" w:cstheme="majorHAnsi"/>
                <w:sz w:val="20"/>
                <w:szCs w:val="20"/>
              </w:rPr>
              <w:t>p</w:t>
            </w:r>
            <w:r w:rsidRPr="0072753B">
              <w:rPr>
                <w:rFonts w:asciiTheme="majorHAnsi" w:hAnsiTheme="majorHAnsi" w:cstheme="majorHAnsi"/>
                <w:sz w:val="20"/>
                <w:szCs w:val="20"/>
              </w:rPr>
              <w:t>roject works to establish Sarah’s Safe Home (SSH) to be a safe and secure temporary accommodation for survivors of GBV.</w:t>
            </w:r>
          </w:p>
        </w:tc>
        <w:tc>
          <w:tcPr>
            <w:tcW w:w="0" w:type="dxa"/>
            <w:tcMar>
              <w:top w:w="85" w:type="dxa"/>
              <w:bottom w:w="85" w:type="dxa"/>
            </w:tcMar>
          </w:tcPr>
          <w:p w14:paraId="556A05CB"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tc>
        <w:tc>
          <w:tcPr>
            <w:tcW w:w="0" w:type="dxa"/>
          </w:tcPr>
          <w:p w14:paraId="5F6D2186"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$500,000 </w:t>
            </w:r>
          </w:p>
          <w:p w14:paraId="78ABF748"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783A6AAE" w14:textId="7777777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2024 – 2025</w:t>
            </w:r>
          </w:p>
        </w:tc>
        <w:tc>
          <w:tcPr>
            <w:tcW w:w="0" w:type="dxa"/>
          </w:tcPr>
          <w:p w14:paraId="741B9A35" w14:textId="12B0CC57" w:rsidR="00E37A55" w:rsidRPr="0072753B" w:rsidRDefault="00E37A5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3192501D"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997A9C7" w14:textId="092C5C52" w:rsidR="00BF1CDC"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23</w:t>
            </w:r>
          </w:p>
        </w:tc>
        <w:tc>
          <w:tcPr>
            <w:tcW w:w="0" w:type="dxa"/>
            <w:tcMar>
              <w:top w:w="85" w:type="dxa"/>
              <w:bottom w:w="85" w:type="dxa"/>
            </w:tcMar>
          </w:tcPr>
          <w:p w14:paraId="5A591986"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Shifting the Power Coalition: Pacific Owned, Women-led Early Warning and Resilience (POWER) systems</w:t>
            </w:r>
          </w:p>
          <w:p w14:paraId="2735088A"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8956E53" w14:textId="3AD9EF92"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(ActionAid Australia)</w:t>
            </w:r>
          </w:p>
        </w:tc>
        <w:tc>
          <w:tcPr>
            <w:tcW w:w="0" w:type="dxa"/>
            <w:tcMar>
              <w:top w:w="85" w:type="dxa"/>
              <w:bottom w:w="85" w:type="dxa"/>
            </w:tcMar>
          </w:tcPr>
          <w:p w14:paraId="57B637F9"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Shifting the Power Coalition (</w:t>
            </w:r>
            <w:proofErr w:type="spellStart"/>
            <w:r w:rsidRPr="0072753B">
              <w:rPr>
                <w:rFonts w:asciiTheme="majorHAnsi" w:hAnsiTheme="majorHAnsi" w:cstheme="majorHAnsi"/>
                <w:sz w:val="20"/>
                <w:szCs w:val="20"/>
              </w:rPr>
              <w:t>StPC</w:t>
            </w:r>
            <w:proofErr w:type="spellEnd"/>
            <w:r w:rsidRPr="0072753B">
              <w:rPr>
                <w:rFonts w:asciiTheme="majorHAnsi" w:hAnsiTheme="majorHAnsi" w:cstheme="majorHAnsi"/>
                <w:sz w:val="20"/>
                <w:szCs w:val="20"/>
              </w:rPr>
              <w:t xml:space="preserve">) empowers diverse Pacific women to lead disaster management, humanitarian, and climate action. Through rapid response and core support grants, </w:t>
            </w:r>
            <w:proofErr w:type="spellStart"/>
            <w:r w:rsidRPr="0072753B">
              <w:rPr>
                <w:rFonts w:asciiTheme="majorHAnsi" w:hAnsiTheme="majorHAnsi" w:cstheme="majorHAnsi"/>
                <w:sz w:val="20"/>
                <w:szCs w:val="20"/>
              </w:rPr>
              <w:t>StPC</w:t>
            </w:r>
            <w:proofErr w:type="spellEnd"/>
            <w:r w:rsidRPr="0072753B">
              <w:rPr>
                <w:rFonts w:asciiTheme="majorHAnsi" w:hAnsiTheme="majorHAnsi" w:cstheme="majorHAnsi"/>
                <w:sz w:val="20"/>
                <w:szCs w:val="20"/>
              </w:rPr>
              <w:t xml:space="preserve"> has enabled women-led networks to drive crisis response, recovery, and advocacy, ensuring inclusive, gender-responsive humanitarian action.</w:t>
            </w:r>
          </w:p>
        </w:tc>
        <w:tc>
          <w:tcPr>
            <w:tcW w:w="0" w:type="dxa"/>
            <w:tcMar>
              <w:top w:w="85" w:type="dxa"/>
              <w:bottom w:w="85" w:type="dxa"/>
            </w:tcMar>
          </w:tcPr>
          <w:p w14:paraId="048E32C9"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5E3F0F00"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342F65DE"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1963BA96"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21F9C42B"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05E75787" w14:textId="0EDBE81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w:t>
            </w:r>
            <w:r w:rsidR="00CD1EB5" w:rsidRPr="0072753B">
              <w:rPr>
                <w:rFonts w:asciiTheme="majorHAnsi" w:hAnsiTheme="majorHAnsi" w:cstheme="majorHAnsi"/>
                <w:sz w:val="20"/>
                <w:szCs w:val="20"/>
              </w:rPr>
              <w:t>land</w:t>
            </w:r>
            <w:r w:rsidR="009D5592" w:rsidRPr="0072753B">
              <w:rPr>
                <w:rFonts w:asciiTheme="majorHAnsi" w:hAnsiTheme="majorHAnsi" w:cstheme="majorHAnsi"/>
                <w:sz w:val="20"/>
                <w:szCs w:val="20"/>
              </w:rPr>
              <w:t>s</w:t>
            </w:r>
          </w:p>
        </w:tc>
        <w:tc>
          <w:tcPr>
            <w:tcW w:w="0" w:type="dxa"/>
          </w:tcPr>
          <w:p w14:paraId="17158879"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$532,233.07</w:t>
            </w:r>
          </w:p>
          <w:p w14:paraId="302146CD"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A5ECD6" w14:textId="1B65B05B"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w:t>
            </w:r>
            <w:r w:rsidR="00A2616E"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A2616E" w:rsidRPr="0072753B">
              <w:rPr>
                <w:rFonts w:asciiTheme="majorHAnsi" w:hAnsiTheme="majorHAnsi" w:cstheme="majorHAnsi"/>
                <w:sz w:val="20"/>
                <w:szCs w:val="20"/>
              </w:rPr>
              <w:t xml:space="preserve"> </w:t>
            </w:r>
            <w:r w:rsidRPr="0072753B">
              <w:rPr>
                <w:rFonts w:asciiTheme="majorHAnsi" w:hAnsiTheme="majorHAnsi" w:cstheme="majorHAnsi"/>
                <w:sz w:val="20"/>
                <w:szCs w:val="20"/>
              </w:rPr>
              <w:t>2025</w:t>
            </w:r>
          </w:p>
        </w:tc>
        <w:tc>
          <w:tcPr>
            <w:tcW w:w="0" w:type="dxa"/>
          </w:tcPr>
          <w:p w14:paraId="037B705D"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bookmarkEnd w:id="15"/>
      <w:tr w:rsidR="0012022C" w:rsidRPr="0072753B" w14:paraId="4A08C213"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F11DF23" w14:textId="0EB3EFA0" w:rsidR="00DD7D07"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24</w:t>
            </w:r>
          </w:p>
        </w:tc>
        <w:tc>
          <w:tcPr>
            <w:tcW w:w="0" w:type="dxa"/>
            <w:tcMar>
              <w:top w:w="85" w:type="dxa"/>
              <w:bottom w:w="85" w:type="dxa"/>
            </w:tcMar>
          </w:tcPr>
          <w:p w14:paraId="3BA9F6FD" w14:textId="56BD2CE1"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Strengthening Capacity of Women’s </w:t>
            </w:r>
            <w:r w:rsidR="00C7088C" w:rsidRPr="0072753B">
              <w:rPr>
                <w:rFonts w:asciiTheme="majorHAnsi" w:hAnsiTheme="majorHAnsi" w:cstheme="majorHAnsi"/>
                <w:sz w:val="20"/>
                <w:szCs w:val="20"/>
              </w:rPr>
              <w:t>Organi</w:t>
            </w:r>
            <w:r w:rsidR="0072753B" w:rsidRPr="0072753B">
              <w:rPr>
                <w:rFonts w:asciiTheme="majorHAnsi" w:hAnsiTheme="majorHAnsi" w:cstheme="majorHAnsi"/>
                <w:sz w:val="20"/>
                <w:szCs w:val="20"/>
              </w:rPr>
              <w:t>s</w:t>
            </w:r>
            <w:r w:rsidR="00C7088C" w:rsidRPr="0072753B">
              <w:rPr>
                <w:rFonts w:asciiTheme="majorHAnsi" w:hAnsiTheme="majorHAnsi" w:cstheme="majorHAnsi"/>
                <w:sz w:val="20"/>
                <w:szCs w:val="20"/>
              </w:rPr>
              <w:t>ation</w:t>
            </w:r>
            <w:r w:rsidRPr="0072753B">
              <w:rPr>
                <w:rFonts w:asciiTheme="majorHAnsi" w:hAnsiTheme="majorHAnsi" w:cstheme="majorHAnsi"/>
                <w:sz w:val="20"/>
                <w:szCs w:val="20"/>
              </w:rPr>
              <w:t xml:space="preserve"> in Pacific Small Island Developing States (PSIDS) on increasing Women in Leadership and EVAW in the World of work.</w:t>
            </w:r>
          </w:p>
          <w:p w14:paraId="4039DDED" w14:textId="77777777" w:rsidR="00207D2C" w:rsidRPr="0072753B" w:rsidRDefault="00207D2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275275F"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Women's Rights Movement)</w:t>
            </w:r>
          </w:p>
        </w:tc>
        <w:tc>
          <w:tcPr>
            <w:tcW w:w="0" w:type="dxa"/>
            <w:tcMar>
              <w:top w:w="85" w:type="dxa"/>
              <w:bottom w:w="85" w:type="dxa"/>
            </w:tcMar>
          </w:tcPr>
          <w:p w14:paraId="63742AB8" w14:textId="737F3BF9"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w:t>
            </w:r>
            <w:r w:rsidR="00C85EAC" w:rsidRPr="0072753B">
              <w:rPr>
                <w:rFonts w:asciiTheme="majorHAnsi" w:hAnsiTheme="majorHAnsi" w:cstheme="majorHAnsi"/>
                <w:sz w:val="20"/>
                <w:szCs w:val="20"/>
              </w:rPr>
              <w:t xml:space="preserve">he project will </w:t>
            </w:r>
            <w:r w:rsidRPr="0072753B">
              <w:rPr>
                <w:rFonts w:asciiTheme="majorHAnsi" w:hAnsiTheme="majorHAnsi" w:cstheme="majorHAnsi"/>
                <w:sz w:val="20"/>
                <w:szCs w:val="20"/>
              </w:rPr>
              <w:t xml:space="preserve">strengthen, upskill and support the technical capacities of women's rights </w:t>
            </w:r>
            <w:r w:rsidR="000162EE" w:rsidRPr="0072753B">
              <w:rPr>
                <w:rFonts w:asciiTheme="majorHAnsi" w:hAnsiTheme="majorHAnsi" w:cstheme="majorHAnsi"/>
                <w:sz w:val="20"/>
                <w:szCs w:val="20"/>
              </w:rPr>
              <w:t>organi</w:t>
            </w:r>
            <w:r w:rsidR="0072753B" w:rsidRPr="0072753B">
              <w:rPr>
                <w:rFonts w:asciiTheme="majorHAnsi" w:hAnsiTheme="majorHAnsi" w:cstheme="majorHAnsi"/>
                <w:sz w:val="20"/>
                <w:szCs w:val="20"/>
              </w:rPr>
              <w:t>s</w:t>
            </w:r>
            <w:r w:rsidR="000162EE" w:rsidRPr="0072753B">
              <w:rPr>
                <w:rFonts w:asciiTheme="majorHAnsi" w:hAnsiTheme="majorHAnsi" w:cstheme="majorHAnsi"/>
                <w:sz w:val="20"/>
                <w:szCs w:val="20"/>
              </w:rPr>
              <w:t>ations</w:t>
            </w:r>
            <w:r w:rsidRPr="0072753B">
              <w:rPr>
                <w:rFonts w:asciiTheme="majorHAnsi" w:hAnsiTheme="majorHAnsi" w:cstheme="majorHAnsi"/>
                <w:sz w:val="20"/>
                <w:szCs w:val="20"/>
              </w:rPr>
              <w:t xml:space="preserve"> in the Pacific on gender analysis tools, evidence based legislative lobbying and advocacy in two key areas: women’s leadership at all levels of key decision-making spaces and support women’s rights </w:t>
            </w:r>
            <w:r w:rsidR="000162EE" w:rsidRPr="0072753B">
              <w:rPr>
                <w:rFonts w:asciiTheme="majorHAnsi" w:hAnsiTheme="majorHAnsi" w:cstheme="majorHAnsi"/>
                <w:sz w:val="20"/>
                <w:szCs w:val="20"/>
              </w:rPr>
              <w:t>organi</w:t>
            </w:r>
            <w:r w:rsidR="0072753B" w:rsidRPr="0072753B">
              <w:rPr>
                <w:rFonts w:asciiTheme="majorHAnsi" w:hAnsiTheme="majorHAnsi" w:cstheme="majorHAnsi"/>
                <w:sz w:val="20"/>
                <w:szCs w:val="20"/>
              </w:rPr>
              <w:t>s</w:t>
            </w:r>
            <w:r w:rsidR="000162EE" w:rsidRPr="0072753B">
              <w:rPr>
                <w:rFonts w:asciiTheme="majorHAnsi" w:hAnsiTheme="majorHAnsi" w:cstheme="majorHAnsi"/>
                <w:sz w:val="20"/>
                <w:szCs w:val="20"/>
              </w:rPr>
              <w:t>ations</w:t>
            </w:r>
            <w:r w:rsidRPr="0072753B">
              <w:rPr>
                <w:rFonts w:asciiTheme="majorHAnsi" w:hAnsiTheme="majorHAnsi" w:cstheme="majorHAnsi"/>
                <w:sz w:val="20"/>
                <w:szCs w:val="20"/>
              </w:rPr>
              <w:t xml:space="preserve"> to effectively monitor national, regional and international commitments, and </w:t>
            </w:r>
            <w:r w:rsidRPr="0072753B">
              <w:rPr>
                <w:rFonts w:asciiTheme="majorHAnsi" w:hAnsiTheme="majorHAnsi" w:cstheme="majorHAnsi"/>
                <w:sz w:val="20"/>
                <w:szCs w:val="20"/>
              </w:rPr>
              <w:lastRenderedPageBreak/>
              <w:t xml:space="preserve">advocacy on ending </w:t>
            </w:r>
            <w:r w:rsidR="00D10DA9" w:rsidRPr="0072753B">
              <w:rPr>
                <w:rFonts w:asciiTheme="majorHAnsi" w:hAnsiTheme="majorHAnsi" w:cstheme="majorHAnsi"/>
                <w:sz w:val="20"/>
                <w:szCs w:val="20"/>
              </w:rPr>
              <w:t xml:space="preserve">violence against women. </w:t>
            </w:r>
          </w:p>
        </w:tc>
        <w:tc>
          <w:tcPr>
            <w:tcW w:w="0" w:type="dxa"/>
            <w:tcMar>
              <w:top w:w="85" w:type="dxa"/>
              <w:bottom w:w="85" w:type="dxa"/>
            </w:tcMar>
          </w:tcPr>
          <w:p w14:paraId="7A97D26C"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tc>
        <w:tc>
          <w:tcPr>
            <w:tcW w:w="0" w:type="dxa"/>
          </w:tcPr>
          <w:p w14:paraId="2D707A90"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$381,229.84 </w:t>
            </w:r>
          </w:p>
          <w:p w14:paraId="4F1AAD92"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8189EA"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7D94A19B" w14:textId="46C82019"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5D3FBA1E"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D0A3C07" w14:textId="6E9CB3D0" w:rsidR="00DD7D07"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25</w:t>
            </w:r>
          </w:p>
        </w:tc>
        <w:tc>
          <w:tcPr>
            <w:tcW w:w="0" w:type="dxa"/>
            <w:tcMar>
              <w:top w:w="85" w:type="dxa"/>
              <w:bottom w:w="85" w:type="dxa"/>
            </w:tcMar>
          </w:tcPr>
          <w:p w14:paraId="1CADAC51"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Strengthening women’s voice in Local Governance</w:t>
            </w:r>
          </w:p>
          <w:p w14:paraId="4DB855C0"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3BE74AD"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(CARE Vanuatu)</w:t>
            </w:r>
          </w:p>
        </w:tc>
        <w:tc>
          <w:tcPr>
            <w:tcW w:w="0" w:type="dxa"/>
            <w:tcMar>
              <w:top w:w="85" w:type="dxa"/>
              <w:bottom w:w="85" w:type="dxa"/>
            </w:tcMar>
          </w:tcPr>
          <w:p w14:paraId="2C8EE717" w14:textId="75A443A3"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C85EAC" w:rsidRPr="0072753B">
              <w:rPr>
                <w:rFonts w:asciiTheme="majorHAnsi" w:hAnsiTheme="majorHAnsi" w:cstheme="majorHAnsi"/>
                <w:sz w:val="20"/>
                <w:szCs w:val="20"/>
              </w:rPr>
              <w:t>e</w:t>
            </w:r>
            <w:r w:rsidRPr="0072753B">
              <w:rPr>
                <w:rFonts w:asciiTheme="majorHAnsi" w:hAnsiTheme="majorHAnsi" w:cstheme="majorHAnsi"/>
                <w:sz w:val="20"/>
                <w:szCs w:val="20"/>
              </w:rPr>
              <w:t xml:space="preserve"> project strengthens Vanuatu’s decentrali</w:t>
            </w:r>
            <w:r w:rsidR="0072753B" w:rsidRPr="0072753B">
              <w:rPr>
                <w:rFonts w:asciiTheme="majorHAnsi" w:hAnsiTheme="majorHAnsi" w:cstheme="majorHAnsi"/>
                <w:sz w:val="20"/>
                <w:szCs w:val="20"/>
              </w:rPr>
              <w:t>s</w:t>
            </w:r>
            <w:r w:rsidRPr="0072753B">
              <w:rPr>
                <w:rFonts w:asciiTheme="majorHAnsi" w:hAnsiTheme="majorHAnsi" w:cstheme="majorHAnsi"/>
                <w:sz w:val="20"/>
                <w:szCs w:val="20"/>
              </w:rPr>
              <w:t>ation policy by promoting diverse women’s leadership in community governance structures. Using the Central Tanna Area Council in Tafea Province as a case study, it will empower women to take on leadership roles within village and tribal pillar committees. Through training, reflection sessions, and ongoing support, women will develop strategies to navigate governance spaces, build collective leadership, and address challenges. Insights from the project will inform policy and practice, with learning briefs and a documentary capturing key outcomes shared at provincial, national, and regional forums to drive broader changes in inclusive governance.</w:t>
            </w:r>
          </w:p>
        </w:tc>
        <w:tc>
          <w:tcPr>
            <w:tcW w:w="0" w:type="dxa"/>
            <w:tcMar>
              <w:top w:w="85" w:type="dxa"/>
              <w:bottom w:w="85" w:type="dxa"/>
            </w:tcMar>
          </w:tcPr>
          <w:p w14:paraId="014439D2"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Pr>
          <w:p w14:paraId="316AE650"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$500,000</w:t>
            </w:r>
          </w:p>
          <w:p w14:paraId="6D12474E" w14:textId="77777777"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146622C" w14:textId="6A801AF4"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2024</w:t>
            </w:r>
            <w:r w:rsidR="00A2616E"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A2616E" w:rsidRPr="0072753B">
              <w:rPr>
                <w:rFonts w:asciiTheme="majorHAnsi" w:hAnsiTheme="majorHAnsi" w:cstheme="majorHAnsi"/>
                <w:sz w:val="20"/>
                <w:szCs w:val="20"/>
              </w:rPr>
              <w:t xml:space="preserve"> </w:t>
            </w:r>
            <w:r w:rsidRPr="0072753B">
              <w:rPr>
                <w:rFonts w:asciiTheme="majorHAnsi" w:hAnsiTheme="majorHAnsi" w:cstheme="majorHAnsi"/>
                <w:sz w:val="20"/>
                <w:szCs w:val="20"/>
              </w:rPr>
              <w:t>2025</w:t>
            </w:r>
          </w:p>
        </w:tc>
        <w:tc>
          <w:tcPr>
            <w:tcW w:w="0" w:type="dxa"/>
          </w:tcPr>
          <w:p w14:paraId="34312AB2" w14:textId="5144943F" w:rsidR="00DD7D07" w:rsidRPr="0072753B" w:rsidRDefault="00DD7D0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5F63DA5B"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6D3758D" w14:textId="50CA01B4" w:rsidR="00DD7D07"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26</w:t>
            </w:r>
          </w:p>
        </w:tc>
        <w:tc>
          <w:tcPr>
            <w:tcW w:w="0" w:type="dxa"/>
            <w:tcMar>
              <w:top w:w="85" w:type="dxa"/>
              <w:bottom w:w="85" w:type="dxa"/>
            </w:tcMar>
          </w:tcPr>
          <w:p w14:paraId="5951831B"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Strengthening of the women’s movement in Solomon Islands</w:t>
            </w:r>
          </w:p>
          <w:p w14:paraId="271F7754"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D31A728" w14:textId="4673D3E3"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(Women's Right Action Movement</w:t>
            </w:r>
            <w:r w:rsidRPr="0072753B" w:rsidDel="00D2437D">
              <w:rPr>
                <w:rFonts w:asciiTheme="majorHAnsi" w:hAnsiTheme="majorHAnsi" w:cstheme="majorHAnsi"/>
                <w:sz w:val="20"/>
                <w:szCs w:val="20"/>
              </w:rPr>
              <w:t xml:space="preserve"> </w:t>
            </w:r>
            <w:r w:rsidR="00181826" w:rsidRPr="0072753B">
              <w:rPr>
                <w:rFonts w:asciiTheme="majorHAnsi" w:hAnsiTheme="majorHAnsi" w:cstheme="majorHAnsi"/>
                <w:sz w:val="20"/>
                <w:szCs w:val="20"/>
              </w:rPr>
              <w:t>(</w:t>
            </w:r>
            <w:r w:rsidRPr="0072753B">
              <w:rPr>
                <w:rFonts w:asciiTheme="majorHAnsi" w:hAnsiTheme="majorHAnsi" w:cstheme="majorHAnsi"/>
                <w:sz w:val="20"/>
                <w:szCs w:val="20"/>
              </w:rPr>
              <w:t>WRAM</w:t>
            </w:r>
            <w:r w:rsidR="00181826" w:rsidRPr="0072753B">
              <w:rPr>
                <w:rFonts w:asciiTheme="majorHAnsi" w:hAnsiTheme="majorHAnsi" w:cstheme="majorHAnsi"/>
                <w:sz w:val="20"/>
                <w:szCs w:val="20"/>
              </w:rPr>
              <w:t>)</w:t>
            </w:r>
            <w:r w:rsidRPr="0072753B">
              <w:rPr>
                <w:rFonts w:asciiTheme="majorHAnsi" w:hAnsiTheme="majorHAnsi" w:cstheme="majorHAnsi"/>
                <w:sz w:val="20"/>
                <w:szCs w:val="20"/>
              </w:rPr>
              <w:t>)</w:t>
            </w:r>
          </w:p>
        </w:tc>
        <w:tc>
          <w:tcPr>
            <w:tcW w:w="0" w:type="dxa"/>
            <w:tcMar>
              <w:top w:w="85" w:type="dxa"/>
              <w:bottom w:w="85" w:type="dxa"/>
            </w:tcMar>
          </w:tcPr>
          <w:p w14:paraId="74E69AF8"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will mentor young women on gender and the law, fostering their leadership through a community of practice. It will also conduct a </w:t>
            </w:r>
            <w:r w:rsidRPr="0072753B">
              <w:rPr>
                <w:rFonts w:asciiTheme="majorHAnsi" w:hAnsiTheme="majorHAnsi" w:cstheme="majorHAnsi"/>
                <w:sz w:val="20"/>
                <w:szCs w:val="20"/>
              </w:rPr>
              <w:lastRenderedPageBreak/>
              <w:t>study examining the connection between violence against women and women's leadership.</w:t>
            </w:r>
          </w:p>
        </w:tc>
        <w:tc>
          <w:tcPr>
            <w:tcW w:w="0" w:type="dxa"/>
            <w:tcMar>
              <w:top w:w="85" w:type="dxa"/>
              <w:bottom w:w="85" w:type="dxa"/>
            </w:tcMar>
          </w:tcPr>
          <w:p w14:paraId="4DD41C98"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Solomon Islands</w:t>
            </w:r>
          </w:p>
        </w:tc>
        <w:tc>
          <w:tcPr>
            <w:tcW w:w="0" w:type="dxa"/>
          </w:tcPr>
          <w:p w14:paraId="5D59E0D6"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$500,000 </w:t>
            </w:r>
          </w:p>
          <w:p w14:paraId="5C1367FA"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F88D3C9" w14:textId="77777777"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6F31AA6C" w14:textId="2CBF386C" w:rsidR="00DD7D07" w:rsidRPr="0072753B" w:rsidRDefault="00DD7D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12022C" w:rsidRPr="0072753B" w14:paraId="497999C3"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D9D3839" w14:textId="609E2ABB" w:rsidR="0032600B"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27</w:t>
            </w:r>
          </w:p>
        </w:tc>
        <w:tc>
          <w:tcPr>
            <w:tcW w:w="0" w:type="dxa"/>
            <w:tcMar>
              <w:top w:w="85" w:type="dxa"/>
              <w:bottom w:w="85" w:type="dxa"/>
            </w:tcMar>
          </w:tcPr>
          <w:p w14:paraId="4382E5D5" w14:textId="649492F0"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Strengthening Pacific Women’s Right to Safety and Access to Health through Survivor-</w:t>
            </w:r>
            <w:proofErr w:type="spellStart"/>
            <w:r w:rsidR="00067392" w:rsidRPr="0072753B">
              <w:rPr>
                <w:rFonts w:asciiTheme="majorHAnsi" w:hAnsiTheme="majorHAnsi" w:cstheme="majorHAnsi"/>
                <w:sz w:val="20"/>
                <w:szCs w:val="20"/>
              </w:rPr>
              <w:t>C</w:t>
            </w:r>
            <w:r w:rsidR="008B3BA6" w:rsidRPr="0072753B">
              <w:rPr>
                <w:rFonts w:asciiTheme="majorHAnsi" w:hAnsiTheme="majorHAnsi" w:cstheme="majorHAnsi"/>
                <w:sz w:val="20"/>
                <w:szCs w:val="20"/>
              </w:rPr>
              <w:t>entered</w:t>
            </w:r>
            <w:proofErr w:type="spellEnd"/>
            <w:r w:rsidRPr="0072753B">
              <w:rPr>
                <w:rFonts w:asciiTheme="majorHAnsi" w:hAnsiTheme="majorHAnsi" w:cstheme="majorHAnsi"/>
                <w:sz w:val="20"/>
                <w:szCs w:val="20"/>
              </w:rPr>
              <w:t xml:space="preserve"> and Evidence-Based </w:t>
            </w:r>
            <w:r w:rsidR="00067392" w:rsidRPr="0072753B">
              <w:rPr>
                <w:rFonts w:asciiTheme="majorHAnsi" w:hAnsiTheme="majorHAnsi" w:cstheme="majorHAnsi"/>
                <w:sz w:val="20"/>
                <w:szCs w:val="20"/>
              </w:rPr>
              <w:t>A</w:t>
            </w:r>
            <w:r w:rsidRPr="0072753B">
              <w:rPr>
                <w:rFonts w:asciiTheme="majorHAnsi" w:hAnsiTheme="majorHAnsi" w:cstheme="majorHAnsi"/>
                <w:sz w:val="20"/>
                <w:szCs w:val="20"/>
              </w:rPr>
              <w:t>pproaches</w:t>
            </w:r>
          </w:p>
          <w:p w14:paraId="0FB7F16D"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54C32ED"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National University)</w:t>
            </w:r>
          </w:p>
          <w:p w14:paraId="1EB59C4B" w14:textId="61C17A0B" w:rsidR="00C7569F" w:rsidRPr="0072753B" w:rsidRDefault="00C7569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839BDD7" w14:textId="0D33AF07" w:rsidR="0032600B" w:rsidRPr="0072753B" w:rsidRDefault="0006739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will undertake a </w:t>
            </w:r>
            <w:r w:rsidR="0032600B" w:rsidRPr="0072753B">
              <w:rPr>
                <w:rFonts w:asciiTheme="majorHAnsi" w:hAnsiTheme="majorHAnsi" w:cstheme="majorHAnsi"/>
                <w:sz w:val="20"/>
                <w:szCs w:val="20"/>
              </w:rPr>
              <w:t xml:space="preserve">situation analysis and research </w:t>
            </w:r>
            <w:r w:rsidRPr="0072753B">
              <w:rPr>
                <w:rFonts w:asciiTheme="majorHAnsi" w:hAnsiTheme="majorHAnsi" w:cstheme="majorHAnsi"/>
                <w:sz w:val="20"/>
                <w:szCs w:val="20"/>
              </w:rPr>
              <w:t>to</w:t>
            </w:r>
            <w:r w:rsidR="0032600B" w:rsidRPr="0072753B">
              <w:rPr>
                <w:rFonts w:asciiTheme="majorHAnsi" w:hAnsiTheme="majorHAnsi" w:cstheme="majorHAnsi"/>
                <w:sz w:val="20"/>
                <w:szCs w:val="20"/>
              </w:rPr>
              <w:t xml:space="preserve"> review existing strengths, weaknesses, resources and opportunities, for national response to GBV in terms of health policies and programs in Fiji, Kiribati, Solomon Islands and Samoa.</w:t>
            </w:r>
          </w:p>
        </w:tc>
        <w:tc>
          <w:tcPr>
            <w:tcW w:w="0" w:type="dxa"/>
            <w:tcMar>
              <w:top w:w="85" w:type="dxa"/>
              <w:bottom w:w="85" w:type="dxa"/>
            </w:tcMar>
          </w:tcPr>
          <w:p w14:paraId="1A34BDB8"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Fiji </w:t>
            </w:r>
          </w:p>
          <w:p w14:paraId="40BB5BA6" w14:textId="77777777" w:rsidR="001F3F6D"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Kiribati </w:t>
            </w:r>
          </w:p>
          <w:p w14:paraId="745F02CC" w14:textId="567AD146"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 Samoa</w:t>
            </w:r>
          </w:p>
        </w:tc>
        <w:tc>
          <w:tcPr>
            <w:tcW w:w="0" w:type="dxa"/>
          </w:tcPr>
          <w:p w14:paraId="7BFB4CD5"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$500,000 </w:t>
            </w:r>
          </w:p>
          <w:p w14:paraId="72BF89FA"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91D2CBD"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2F4A1E4F" w14:textId="45682252"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753D6497"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90C983E" w14:textId="4A7FBACE" w:rsidR="0032600B"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28</w:t>
            </w:r>
          </w:p>
        </w:tc>
        <w:tc>
          <w:tcPr>
            <w:tcW w:w="0" w:type="dxa"/>
            <w:tcMar>
              <w:top w:w="85" w:type="dxa"/>
              <w:bottom w:w="85" w:type="dxa"/>
            </w:tcMar>
          </w:tcPr>
          <w:p w14:paraId="53396A86"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Strengthening gender mainstreaming awareness and capacity within Palau government, civil societies, women and vulnerable groups to create safe and inclusive space to engage</w:t>
            </w:r>
            <w:r w:rsidRPr="0072753B">
              <w:rPr>
                <w:rFonts w:asciiTheme="majorHAnsi" w:hAnsiTheme="majorHAnsi" w:cstheme="majorHAnsi"/>
                <w:sz w:val="20"/>
                <w:szCs w:val="20"/>
              </w:rPr>
              <w:br/>
            </w:r>
          </w:p>
          <w:p w14:paraId="5CB87503"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(Bureau of Domestic Affairs)</w:t>
            </w:r>
          </w:p>
        </w:tc>
        <w:tc>
          <w:tcPr>
            <w:tcW w:w="0" w:type="dxa"/>
            <w:tcMar>
              <w:top w:w="85" w:type="dxa"/>
              <w:bottom w:w="85" w:type="dxa"/>
            </w:tcMar>
          </w:tcPr>
          <w:p w14:paraId="2B6DE83B" w14:textId="52937909"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enhances the Bureau of Domestic Affairs' capacity to implement Palau’s Gender Mainstreaming Policy by developing frameworks, conducting audits, and supporting stakeholders. The project also coordinates the Gender Coordinating Committee, promoting gender equality integration and improving data collection. Additionally, it facilitates national coordination for regional and international reporting, while collaborating with community groups and media to raise awareness about gender equality, particularly for </w:t>
            </w:r>
            <w:r w:rsidRPr="0072753B">
              <w:rPr>
                <w:rFonts w:asciiTheme="majorHAnsi" w:hAnsiTheme="majorHAnsi" w:cstheme="majorHAnsi"/>
                <w:sz w:val="20"/>
                <w:szCs w:val="20"/>
              </w:rPr>
              <w:lastRenderedPageBreak/>
              <w:t xml:space="preserve">vulnerable and </w:t>
            </w:r>
            <w:r w:rsidR="00F129F0" w:rsidRPr="0072753B">
              <w:rPr>
                <w:rFonts w:asciiTheme="majorHAnsi" w:hAnsiTheme="majorHAnsi" w:cstheme="majorHAnsi"/>
                <w:sz w:val="20"/>
                <w:szCs w:val="20"/>
              </w:rPr>
              <w:t>marginali</w:t>
            </w:r>
            <w:r w:rsidR="0072753B" w:rsidRPr="0072753B">
              <w:rPr>
                <w:rFonts w:asciiTheme="majorHAnsi" w:hAnsiTheme="majorHAnsi" w:cstheme="majorHAnsi"/>
                <w:sz w:val="20"/>
                <w:szCs w:val="20"/>
              </w:rPr>
              <w:t>s</w:t>
            </w:r>
            <w:r w:rsidR="00F129F0" w:rsidRPr="0072753B">
              <w:rPr>
                <w:rFonts w:asciiTheme="majorHAnsi" w:hAnsiTheme="majorHAnsi" w:cstheme="majorHAnsi"/>
                <w:sz w:val="20"/>
                <w:szCs w:val="20"/>
              </w:rPr>
              <w:t>ed</w:t>
            </w:r>
            <w:r w:rsidRPr="0072753B">
              <w:rPr>
                <w:rFonts w:asciiTheme="majorHAnsi" w:hAnsiTheme="majorHAnsi" w:cstheme="majorHAnsi"/>
                <w:sz w:val="20"/>
                <w:szCs w:val="20"/>
              </w:rPr>
              <w:t xml:space="preserve"> groups through advocacy campaigns and key national events.</w:t>
            </w:r>
          </w:p>
        </w:tc>
        <w:tc>
          <w:tcPr>
            <w:tcW w:w="0" w:type="dxa"/>
            <w:tcMar>
              <w:top w:w="85" w:type="dxa"/>
              <w:bottom w:w="85" w:type="dxa"/>
            </w:tcMar>
          </w:tcPr>
          <w:p w14:paraId="3272E7BE"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Palau</w:t>
            </w:r>
          </w:p>
        </w:tc>
        <w:tc>
          <w:tcPr>
            <w:tcW w:w="0" w:type="dxa"/>
          </w:tcPr>
          <w:p w14:paraId="7D31225C"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$299,928.30 </w:t>
            </w:r>
          </w:p>
          <w:p w14:paraId="6100286B"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E1B7A98" w14:textId="77777777"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Pr>
          <w:p w14:paraId="5F3AFE5F" w14:textId="0BEB7C18" w:rsidR="0032600B" w:rsidRPr="0072753B" w:rsidRDefault="003260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254CD75F"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1F27E2B" w14:textId="0D0E74F3" w:rsidR="00BF1CDC"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29</w:t>
            </w:r>
          </w:p>
        </w:tc>
        <w:tc>
          <w:tcPr>
            <w:tcW w:w="0" w:type="dxa"/>
            <w:tcMar>
              <w:top w:w="85" w:type="dxa"/>
              <w:bottom w:w="85" w:type="dxa"/>
            </w:tcMar>
          </w:tcPr>
          <w:p w14:paraId="1EDEEA46"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sidRPr="0072753B">
              <w:rPr>
                <w:rFonts w:asciiTheme="majorHAnsi" w:hAnsiTheme="majorHAnsi" w:cstheme="majorHAnsi"/>
                <w:sz w:val="20"/>
                <w:szCs w:val="20"/>
              </w:rPr>
              <w:t>Weto</w:t>
            </w:r>
            <w:proofErr w:type="spellEnd"/>
            <w:r w:rsidRPr="0072753B">
              <w:rPr>
                <w:rFonts w:asciiTheme="majorHAnsi" w:hAnsiTheme="majorHAnsi" w:cstheme="majorHAnsi"/>
                <w:sz w:val="20"/>
                <w:szCs w:val="20"/>
              </w:rPr>
              <w:t xml:space="preserve"> in Mour: Support Service for Women and Girls that are experiencing violence</w:t>
            </w:r>
          </w:p>
          <w:p w14:paraId="30F34557" w14:textId="77777777" w:rsidR="00C773D8" w:rsidRPr="0072753B" w:rsidRDefault="00C773D8"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8CE512D" w14:textId="73A1C8E1" w:rsidR="00BF1CDC" w:rsidRPr="0072753B" w:rsidRDefault="00BC0C89"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(Women United Together Marshall </w:t>
            </w:r>
            <w:r w:rsidR="00756777" w:rsidRPr="0072753B">
              <w:rPr>
                <w:rFonts w:asciiTheme="majorHAnsi" w:hAnsiTheme="majorHAnsi" w:cstheme="majorHAnsi"/>
                <w:sz w:val="20"/>
                <w:szCs w:val="20"/>
              </w:rPr>
              <w:t>Islands (</w:t>
            </w:r>
            <w:r w:rsidR="00BF1CDC" w:rsidRPr="0072753B">
              <w:rPr>
                <w:rFonts w:asciiTheme="majorHAnsi" w:hAnsiTheme="majorHAnsi" w:cstheme="majorHAnsi"/>
                <w:sz w:val="20"/>
                <w:szCs w:val="20"/>
              </w:rPr>
              <w:t>WUTMI)</w:t>
            </w:r>
            <w:r w:rsidRPr="0072753B">
              <w:rPr>
                <w:rFonts w:asciiTheme="majorHAnsi" w:hAnsiTheme="majorHAnsi" w:cstheme="majorHAnsi"/>
                <w:sz w:val="20"/>
                <w:szCs w:val="20"/>
              </w:rPr>
              <w:t>)</w:t>
            </w:r>
          </w:p>
        </w:tc>
        <w:tc>
          <w:tcPr>
            <w:tcW w:w="0" w:type="dxa"/>
            <w:tcMar>
              <w:top w:w="85" w:type="dxa"/>
              <w:bottom w:w="85" w:type="dxa"/>
            </w:tcMar>
          </w:tcPr>
          <w:p w14:paraId="4E0D0BB4" w14:textId="2893A468"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906A9C" w:rsidRPr="0072753B">
              <w:rPr>
                <w:rFonts w:asciiTheme="majorHAnsi" w:hAnsiTheme="majorHAnsi" w:cstheme="majorHAnsi"/>
                <w:sz w:val="20"/>
                <w:szCs w:val="20"/>
              </w:rPr>
              <w:t xml:space="preserve">e </w:t>
            </w:r>
            <w:r w:rsidRPr="0072753B">
              <w:rPr>
                <w:rFonts w:asciiTheme="majorHAnsi" w:hAnsiTheme="majorHAnsi" w:cstheme="majorHAnsi"/>
                <w:sz w:val="20"/>
                <w:szCs w:val="20"/>
              </w:rPr>
              <w:t>project supports WUTMI in delivering quality, community-based responses for women and girls affected by domestic violence in Majuro, while also expanding its GBV counselling program to Ebeye.</w:t>
            </w:r>
          </w:p>
        </w:tc>
        <w:tc>
          <w:tcPr>
            <w:tcW w:w="0" w:type="dxa"/>
            <w:tcMar>
              <w:top w:w="85" w:type="dxa"/>
              <w:bottom w:w="85" w:type="dxa"/>
            </w:tcMar>
          </w:tcPr>
          <w:p w14:paraId="6586E8DB" w14:textId="77777777"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tc>
        <w:tc>
          <w:tcPr>
            <w:tcW w:w="0" w:type="dxa"/>
          </w:tcPr>
          <w:p w14:paraId="0863BBC6" w14:textId="63549239"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$376,449</w:t>
            </w:r>
            <w:r w:rsidR="5470855A" w:rsidRPr="0072753B">
              <w:rPr>
                <w:rFonts w:asciiTheme="majorHAnsi" w:hAnsiTheme="majorHAnsi" w:cstheme="majorHAnsi"/>
                <w:sz w:val="20"/>
                <w:szCs w:val="20"/>
              </w:rPr>
              <w:t xml:space="preserve">.65 </w:t>
            </w:r>
          </w:p>
          <w:p w14:paraId="02759106" w14:textId="49E41BD9"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4B50BFE" w14:textId="77E57078"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 – 2025</w:t>
            </w:r>
          </w:p>
        </w:tc>
        <w:tc>
          <w:tcPr>
            <w:tcW w:w="0" w:type="dxa"/>
          </w:tcPr>
          <w:p w14:paraId="52A8CFBF" w14:textId="77777777" w:rsidR="007D4E58" w:rsidRPr="0072753B" w:rsidRDefault="007D4E58"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p w14:paraId="0099BF4F" w14:textId="6A50FC64" w:rsidR="00BF1CDC" w:rsidRPr="0072753B" w:rsidRDefault="00BF1CD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12022C" w:rsidRPr="0072753B" w14:paraId="2947AA3B"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1306AFD" w14:textId="01C5D8B2" w:rsidR="007C5F1C"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30</w:t>
            </w:r>
          </w:p>
        </w:tc>
        <w:tc>
          <w:tcPr>
            <w:tcW w:w="0" w:type="dxa"/>
            <w:tcMar>
              <w:top w:w="85" w:type="dxa"/>
              <w:bottom w:w="85" w:type="dxa"/>
            </w:tcMar>
          </w:tcPr>
          <w:p w14:paraId="69AF5DF0" w14:textId="41910503" w:rsidR="007C5F1C" w:rsidRPr="0072753B" w:rsidRDefault="007C5F1C"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Women’s Leadership and Decision-making in the Beef Industry </w:t>
            </w:r>
            <w:r w:rsidR="00F129F0" w:rsidRPr="0072753B">
              <w:rPr>
                <w:rFonts w:asciiTheme="majorHAnsi" w:hAnsiTheme="majorHAnsi" w:cstheme="majorHAnsi"/>
                <w:szCs w:val="20"/>
              </w:rPr>
              <w:t xml:space="preserve">in the Sanma </w:t>
            </w:r>
            <w:r w:rsidRPr="0072753B">
              <w:rPr>
                <w:rFonts w:asciiTheme="majorHAnsi" w:hAnsiTheme="majorHAnsi" w:cstheme="majorHAnsi"/>
                <w:szCs w:val="20"/>
              </w:rPr>
              <w:t xml:space="preserve">Province of Vanuatu </w:t>
            </w:r>
          </w:p>
          <w:p w14:paraId="07B39F93" w14:textId="77777777" w:rsidR="007C5F1C" w:rsidRPr="0072753B" w:rsidRDefault="007C5F1C"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p w14:paraId="39850D54" w14:textId="10FD86A6"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rPr>
            </w:pPr>
            <w:r w:rsidRPr="0072753B">
              <w:rPr>
                <w:rFonts w:asciiTheme="majorHAnsi" w:hAnsiTheme="majorHAnsi" w:cstheme="majorHAnsi"/>
                <w:sz w:val="20"/>
                <w:szCs w:val="20"/>
              </w:rPr>
              <w:t>(Vanuatu Government’s Department of Industry)</w:t>
            </w:r>
          </w:p>
        </w:tc>
        <w:tc>
          <w:tcPr>
            <w:tcW w:w="0" w:type="dxa"/>
            <w:tcMar>
              <w:top w:w="85" w:type="dxa"/>
              <w:bottom w:w="85" w:type="dxa"/>
            </w:tcMar>
          </w:tcPr>
          <w:p w14:paraId="405D29CE" w14:textId="7A552E64"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w:t>
            </w:r>
            <w:r w:rsidR="00906A9C" w:rsidRPr="0072753B">
              <w:rPr>
                <w:rFonts w:asciiTheme="majorHAnsi" w:hAnsiTheme="majorHAnsi" w:cstheme="majorHAnsi"/>
                <w:sz w:val="20"/>
                <w:szCs w:val="20"/>
              </w:rPr>
              <w:t xml:space="preserve">e </w:t>
            </w:r>
            <w:r w:rsidRPr="0072753B">
              <w:rPr>
                <w:rFonts w:asciiTheme="majorHAnsi" w:hAnsiTheme="majorHAnsi" w:cstheme="majorHAnsi"/>
                <w:sz w:val="20"/>
                <w:szCs w:val="20"/>
              </w:rPr>
              <w:t>project focuses on improving women’s leadership and decision making in the beef industry in Sanma Province. The project takes an inclusive process, working with the family unit to support women’s economic empowerment. The project will also carry out action research to generate knowledge to develop evidence-based training to support women’s agribusiness in the Pacific</w:t>
            </w:r>
          </w:p>
        </w:tc>
        <w:tc>
          <w:tcPr>
            <w:tcW w:w="0" w:type="dxa"/>
            <w:tcMar>
              <w:top w:w="85" w:type="dxa"/>
              <w:bottom w:w="85" w:type="dxa"/>
            </w:tcMar>
          </w:tcPr>
          <w:p w14:paraId="5119A46B" w14:textId="52A0F6E9"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Pr>
          <w:p w14:paraId="5CECA21E" w14:textId="0EB648C1"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$312,700</w:t>
            </w:r>
          </w:p>
          <w:p w14:paraId="7D14502E" w14:textId="77777777"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FC57BE1" w14:textId="0F54FB83"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hAnsiTheme="majorHAnsi" w:cstheme="majorHAnsi"/>
                <w:sz w:val="20"/>
                <w:szCs w:val="20"/>
              </w:rPr>
              <w:t>2024 – 2025</w:t>
            </w:r>
          </w:p>
        </w:tc>
        <w:tc>
          <w:tcPr>
            <w:tcW w:w="0" w:type="dxa"/>
          </w:tcPr>
          <w:p w14:paraId="362E4CDE" w14:textId="57DF1EC0" w:rsidR="007C5F1C" w:rsidRPr="0072753B" w:rsidRDefault="007C5F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hAnsiTheme="majorHAnsi" w:cstheme="majorHAnsi"/>
                <w:sz w:val="20"/>
                <w:szCs w:val="20"/>
              </w:rPr>
              <w:t>Ongoing</w:t>
            </w:r>
          </w:p>
        </w:tc>
      </w:tr>
      <w:tr w:rsidR="0012022C" w:rsidRPr="0072753B" w14:paraId="5BB13874"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B72A462" w14:textId="30F08D5E" w:rsidR="0032600B"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31</w:t>
            </w:r>
          </w:p>
        </w:tc>
        <w:tc>
          <w:tcPr>
            <w:tcW w:w="0" w:type="dxa"/>
            <w:tcMar>
              <w:top w:w="85" w:type="dxa"/>
              <w:bottom w:w="85" w:type="dxa"/>
            </w:tcMar>
          </w:tcPr>
          <w:p w14:paraId="281945AE"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Women-led, communities thrive /Women-</w:t>
            </w:r>
            <w:proofErr w:type="spellStart"/>
            <w:r w:rsidRPr="0072753B">
              <w:rPr>
                <w:rFonts w:asciiTheme="majorHAnsi" w:hAnsiTheme="majorHAnsi" w:cstheme="majorHAnsi"/>
                <w:sz w:val="20"/>
                <w:szCs w:val="20"/>
              </w:rPr>
              <w:t>ledim</w:t>
            </w:r>
            <w:proofErr w:type="spellEnd"/>
            <w:r w:rsidRPr="0072753B">
              <w:rPr>
                <w:rFonts w:asciiTheme="majorHAnsi" w:hAnsiTheme="majorHAnsi" w:cstheme="majorHAnsi"/>
                <w:sz w:val="20"/>
                <w:szCs w:val="20"/>
              </w:rPr>
              <w:t xml:space="preserve">, </w:t>
            </w:r>
            <w:proofErr w:type="spellStart"/>
            <w:r w:rsidRPr="0072753B">
              <w:rPr>
                <w:rFonts w:asciiTheme="majorHAnsi" w:hAnsiTheme="majorHAnsi" w:cstheme="majorHAnsi"/>
                <w:sz w:val="20"/>
                <w:szCs w:val="20"/>
              </w:rPr>
              <w:t>komunity-gud</w:t>
            </w:r>
            <w:proofErr w:type="spellEnd"/>
          </w:p>
          <w:p w14:paraId="6C92E446"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A4C36E2" w14:textId="56D30EA2"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(Save the </w:t>
            </w:r>
            <w:r w:rsidR="00AF533D" w:rsidRPr="0072753B">
              <w:rPr>
                <w:rFonts w:asciiTheme="majorHAnsi" w:hAnsiTheme="majorHAnsi" w:cstheme="majorHAnsi"/>
                <w:sz w:val="20"/>
                <w:szCs w:val="20"/>
              </w:rPr>
              <w:t>Children Solomon</w:t>
            </w:r>
            <w:r w:rsidRPr="0072753B">
              <w:rPr>
                <w:rFonts w:asciiTheme="majorHAnsi" w:hAnsiTheme="majorHAnsi" w:cstheme="majorHAnsi"/>
                <w:sz w:val="20"/>
                <w:szCs w:val="20"/>
              </w:rPr>
              <w:t xml:space="preserve"> Islands)</w:t>
            </w:r>
          </w:p>
        </w:tc>
        <w:tc>
          <w:tcPr>
            <w:tcW w:w="0" w:type="dxa"/>
            <w:tcMar>
              <w:top w:w="85" w:type="dxa"/>
              <w:bottom w:w="85" w:type="dxa"/>
            </w:tcMar>
          </w:tcPr>
          <w:p w14:paraId="38E253D8" w14:textId="773945E1"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t>
            </w:r>
            <w:r w:rsidR="00906A9C" w:rsidRPr="0072753B">
              <w:rPr>
                <w:rFonts w:asciiTheme="majorHAnsi" w:hAnsiTheme="majorHAnsi" w:cstheme="majorHAnsi"/>
                <w:sz w:val="20"/>
                <w:szCs w:val="20"/>
              </w:rPr>
              <w:t xml:space="preserve">will </w:t>
            </w:r>
            <w:r w:rsidRPr="0072753B">
              <w:rPr>
                <w:rFonts w:asciiTheme="majorHAnsi" w:hAnsiTheme="majorHAnsi" w:cstheme="majorHAnsi"/>
                <w:sz w:val="20"/>
                <w:szCs w:val="20"/>
              </w:rPr>
              <w:t xml:space="preserve">empower and support survivors of gender-based violence and promote gender equality in Malaita Province by supporting the </w:t>
            </w:r>
            <w:r w:rsidRPr="0072753B">
              <w:rPr>
                <w:rFonts w:asciiTheme="majorHAnsi" w:hAnsiTheme="majorHAnsi" w:cstheme="majorHAnsi"/>
                <w:sz w:val="20"/>
                <w:szCs w:val="20"/>
              </w:rPr>
              <w:lastRenderedPageBreak/>
              <w:t>Malaita Christian Care Centre Safe House for victims of GBV.</w:t>
            </w:r>
          </w:p>
        </w:tc>
        <w:tc>
          <w:tcPr>
            <w:tcW w:w="0" w:type="dxa"/>
            <w:tcMar>
              <w:top w:w="85" w:type="dxa"/>
              <w:bottom w:w="85" w:type="dxa"/>
            </w:tcMar>
          </w:tcPr>
          <w:p w14:paraId="5DB753D8"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Solomon Islands</w:t>
            </w:r>
          </w:p>
        </w:tc>
        <w:tc>
          <w:tcPr>
            <w:tcW w:w="0" w:type="dxa"/>
          </w:tcPr>
          <w:p w14:paraId="5D185F28" w14:textId="206904CA"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 xml:space="preserve">$498,725.97 </w:t>
            </w:r>
          </w:p>
          <w:p w14:paraId="0B076BA2"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36B8E11F" w14:textId="77777777"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2024 – 2025</w:t>
            </w:r>
          </w:p>
        </w:tc>
        <w:tc>
          <w:tcPr>
            <w:tcW w:w="0" w:type="dxa"/>
          </w:tcPr>
          <w:p w14:paraId="6DA12FBC" w14:textId="0B74BFBB" w:rsidR="0032600B" w:rsidRPr="0072753B" w:rsidRDefault="003260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68027F45"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B05880E" w14:textId="76E18DA2" w:rsidR="00A57E08"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32</w:t>
            </w:r>
          </w:p>
        </w:tc>
        <w:tc>
          <w:tcPr>
            <w:tcW w:w="0" w:type="dxa"/>
            <w:tcMar>
              <w:top w:w="85" w:type="dxa"/>
              <w:bottom w:w="85" w:type="dxa"/>
            </w:tcMar>
          </w:tcPr>
          <w:p w14:paraId="5EC2DCA0" w14:textId="77777777" w:rsidR="00A57E08" w:rsidRPr="0072753B" w:rsidRDefault="00A57E08"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Preventing and addressing</w:t>
            </w:r>
            <w:r w:rsidR="008275E7" w:rsidRPr="0072753B">
              <w:rPr>
                <w:rFonts w:asciiTheme="majorHAnsi" w:hAnsiTheme="majorHAnsi" w:cstheme="majorHAnsi"/>
                <w:sz w:val="20"/>
                <w:szCs w:val="20"/>
              </w:rPr>
              <w:t xml:space="preserve"> gender-based violence (GBV) through the establishment of National GBV Unit</w:t>
            </w:r>
          </w:p>
          <w:p w14:paraId="6A3576FF" w14:textId="77777777" w:rsidR="008275E7" w:rsidRPr="0072753B" w:rsidRDefault="008275E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E416E8E" w14:textId="5F34A41E" w:rsidR="008275E7" w:rsidRPr="0072753B" w:rsidRDefault="008275E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(Gender and Development Division</w:t>
            </w:r>
            <w:r w:rsidR="00A90647" w:rsidRPr="0072753B">
              <w:rPr>
                <w:rFonts w:asciiTheme="majorHAnsi" w:hAnsiTheme="majorHAnsi" w:cstheme="majorHAnsi"/>
                <w:sz w:val="20"/>
                <w:szCs w:val="20"/>
              </w:rPr>
              <w:t xml:space="preserve"> of Ministry of Internal Affairs and Trade</w:t>
            </w:r>
            <w:r w:rsidRPr="0072753B">
              <w:rPr>
                <w:rFonts w:asciiTheme="majorHAnsi" w:hAnsiTheme="majorHAnsi" w:cstheme="majorHAnsi"/>
                <w:sz w:val="20"/>
                <w:szCs w:val="20"/>
              </w:rPr>
              <w:t>)</w:t>
            </w:r>
          </w:p>
        </w:tc>
        <w:tc>
          <w:tcPr>
            <w:tcW w:w="0" w:type="dxa"/>
            <w:tcMar>
              <w:top w:w="85" w:type="dxa"/>
              <w:bottom w:w="85" w:type="dxa"/>
            </w:tcMar>
          </w:tcPr>
          <w:p w14:paraId="3F3B25F6" w14:textId="192B461D" w:rsidR="00A57E08" w:rsidRPr="0072753B" w:rsidRDefault="00365BD9"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will establish the Cook Islands’ first National GBV Unit within the Ministry of Internal Affairs to strengthen CSO-led services and address barriers to tackling gender-based violence. It aims to reduce violence against women and girls and ensure inclusive services that meet the needs of women and girls with disabilities and LGBTQ+ communities.</w:t>
            </w:r>
          </w:p>
        </w:tc>
        <w:tc>
          <w:tcPr>
            <w:tcW w:w="0" w:type="dxa"/>
            <w:tcMar>
              <w:top w:w="85" w:type="dxa"/>
              <w:bottom w:w="85" w:type="dxa"/>
            </w:tcMar>
          </w:tcPr>
          <w:p w14:paraId="5B2C292E" w14:textId="6BC75559" w:rsidR="00A57E08" w:rsidRPr="0072753B" w:rsidRDefault="00D976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Islands</w:t>
            </w:r>
          </w:p>
        </w:tc>
        <w:tc>
          <w:tcPr>
            <w:tcW w:w="0" w:type="dxa"/>
          </w:tcPr>
          <w:p w14:paraId="66F18714" w14:textId="77777777" w:rsidR="00A57E08" w:rsidRPr="0072753B" w:rsidRDefault="00D976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$300,000</w:t>
            </w:r>
          </w:p>
          <w:p w14:paraId="55FCBD0B" w14:textId="77777777" w:rsidR="00D9761C" w:rsidRPr="0072753B" w:rsidRDefault="00D976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4834A93F" w14:textId="13DB1043" w:rsidR="00D9761C" w:rsidRPr="0072753B" w:rsidRDefault="00D976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2025</w:t>
            </w:r>
            <w:r w:rsidR="00A2616E" w:rsidRPr="0072753B">
              <w:rPr>
                <w:rFonts w:asciiTheme="majorHAnsi" w:eastAsia="Times New Roman" w:hAnsiTheme="majorHAnsi" w:cstheme="majorHAnsi"/>
                <w:color w:val="000000" w:themeColor="text1"/>
                <w:sz w:val="20"/>
                <w:szCs w:val="20"/>
              </w:rPr>
              <w:t xml:space="preserve"> – </w:t>
            </w:r>
            <w:r w:rsidRPr="0072753B">
              <w:rPr>
                <w:rFonts w:asciiTheme="majorHAnsi" w:eastAsia="Times New Roman" w:hAnsiTheme="majorHAnsi" w:cstheme="majorHAnsi"/>
                <w:color w:val="000000" w:themeColor="text1"/>
                <w:sz w:val="20"/>
                <w:szCs w:val="20"/>
              </w:rPr>
              <w:t>2026</w:t>
            </w:r>
          </w:p>
        </w:tc>
        <w:tc>
          <w:tcPr>
            <w:tcW w:w="0" w:type="dxa"/>
          </w:tcPr>
          <w:p w14:paraId="274DA011" w14:textId="38682EDB" w:rsidR="00A57E08" w:rsidRPr="0072753B" w:rsidRDefault="00D9761C"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r w:rsidR="00902511" w:rsidRPr="0072753B">
              <w:rPr>
                <w:rFonts w:asciiTheme="majorHAnsi" w:eastAsia="Times New Roman" w:hAnsiTheme="majorHAnsi" w:cstheme="majorHAnsi"/>
                <w:color w:val="000000" w:themeColor="text1"/>
                <w:sz w:val="20"/>
                <w:szCs w:val="20"/>
              </w:rPr>
              <w:t xml:space="preserve"> (</w:t>
            </w:r>
            <w:r w:rsidR="00BB2550" w:rsidRPr="0072753B">
              <w:rPr>
                <w:rFonts w:asciiTheme="majorHAnsi" w:eastAsia="Times New Roman" w:hAnsiTheme="majorHAnsi" w:cstheme="majorHAnsi"/>
                <w:color w:val="000000" w:themeColor="text1"/>
                <w:sz w:val="20"/>
                <w:szCs w:val="20"/>
              </w:rPr>
              <w:t>new</w:t>
            </w:r>
            <w:r w:rsidR="00902511" w:rsidRPr="0072753B">
              <w:rPr>
                <w:rFonts w:asciiTheme="majorHAnsi" w:eastAsia="Times New Roman" w:hAnsiTheme="majorHAnsi" w:cstheme="majorHAnsi"/>
                <w:color w:val="000000" w:themeColor="text1"/>
                <w:sz w:val="20"/>
                <w:szCs w:val="20"/>
              </w:rPr>
              <w:t>)</w:t>
            </w:r>
          </w:p>
        </w:tc>
      </w:tr>
      <w:tr w:rsidR="0012022C" w:rsidRPr="0072753B" w14:paraId="3052C05B"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854AE6A" w14:textId="7BDA7003" w:rsidR="003F4836"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33</w:t>
            </w:r>
          </w:p>
        </w:tc>
        <w:tc>
          <w:tcPr>
            <w:tcW w:w="0" w:type="dxa"/>
            <w:tcMar>
              <w:top w:w="85" w:type="dxa"/>
              <w:bottom w:w="85" w:type="dxa"/>
            </w:tcMar>
          </w:tcPr>
          <w:p w14:paraId="74F25929" w14:textId="77777777" w:rsidR="003F4836" w:rsidRPr="0072753B" w:rsidRDefault="003F483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Enhancing Women’s Electoral Inclusion and Polit</w:t>
            </w:r>
            <w:r w:rsidR="009458AD" w:rsidRPr="0072753B">
              <w:rPr>
                <w:rFonts w:asciiTheme="majorHAnsi" w:hAnsiTheme="majorHAnsi" w:cstheme="majorHAnsi"/>
                <w:sz w:val="20"/>
                <w:szCs w:val="20"/>
              </w:rPr>
              <w:t>ical Participation through Pacific Women Lead</w:t>
            </w:r>
          </w:p>
          <w:p w14:paraId="135056BD" w14:textId="77777777" w:rsidR="009458AD" w:rsidRPr="0072753B" w:rsidRDefault="009458AD"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3B3C7F1" w14:textId="0D87E843" w:rsidR="009458AD" w:rsidRPr="0072753B" w:rsidRDefault="009458AD"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(International Foundation for Electoral Systems)</w:t>
            </w:r>
          </w:p>
        </w:tc>
        <w:tc>
          <w:tcPr>
            <w:tcW w:w="0" w:type="dxa"/>
            <w:tcMar>
              <w:top w:w="85" w:type="dxa"/>
              <w:bottom w:w="85" w:type="dxa"/>
            </w:tcMar>
          </w:tcPr>
          <w:p w14:paraId="230A1B34" w14:textId="1E497138" w:rsidR="003F4836" w:rsidRPr="0072753B" w:rsidRDefault="00B15994"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will benefit government, civil society, youth, women, and male allies through a more inclusive approach and strengthened local governance, electoral, and political processes. The Fiji Elections Office (FEO), Ministry of Women, Children and Social Protection (MWCSP), and Ministry of Local Government (MLG) will enhance inter-agency coordination, while women gain leadership and advocacy skills to advance policy and political goals, and </w:t>
            </w:r>
            <w:r w:rsidRPr="0072753B">
              <w:rPr>
                <w:rFonts w:asciiTheme="majorHAnsi" w:hAnsiTheme="majorHAnsi" w:cstheme="majorHAnsi"/>
                <w:sz w:val="20"/>
                <w:szCs w:val="20"/>
              </w:rPr>
              <w:lastRenderedPageBreak/>
              <w:t>elected women build their capacity.</w:t>
            </w:r>
          </w:p>
        </w:tc>
        <w:tc>
          <w:tcPr>
            <w:tcW w:w="0" w:type="dxa"/>
            <w:tcMar>
              <w:top w:w="85" w:type="dxa"/>
              <w:bottom w:w="85" w:type="dxa"/>
            </w:tcMar>
          </w:tcPr>
          <w:p w14:paraId="55C26BA3" w14:textId="2F2C684D" w:rsidR="003F4836" w:rsidRPr="0072753B" w:rsidRDefault="003203B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tc>
        <w:tc>
          <w:tcPr>
            <w:tcW w:w="0" w:type="dxa"/>
          </w:tcPr>
          <w:p w14:paraId="7FDFC94D" w14:textId="7019D339" w:rsidR="003203B3" w:rsidRPr="0072753B" w:rsidRDefault="003203B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$900</w:t>
            </w:r>
            <w:r w:rsidR="00C969E4" w:rsidRPr="0072753B">
              <w:rPr>
                <w:rFonts w:asciiTheme="majorHAnsi" w:eastAsia="Times New Roman" w:hAnsiTheme="majorHAnsi" w:cstheme="majorHAnsi"/>
                <w:color w:val="000000" w:themeColor="text1"/>
                <w:sz w:val="20"/>
                <w:szCs w:val="20"/>
              </w:rPr>
              <w:t>,000</w:t>
            </w:r>
          </w:p>
          <w:p w14:paraId="10B5FD33" w14:textId="77777777" w:rsidR="003203B3" w:rsidRPr="0072753B" w:rsidRDefault="003203B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1EA82C93" w14:textId="1D7FDA12" w:rsidR="003F4836" w:rsidRPr="0072753B" w:rsidRDefault="003203B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2024</w:t>
            </w:r>
            <w:r w:rsidR="00A2616E" w:rsidRPr="0072753B">
              <w:rPr>
                <w:rFonts w:asciiTheme="majorHAnsi" w:eastAsia="Times New Roman" w:hAnsiTheme="majorHAnsi" w:cstheme="majorHAnsi"/>
                <w:color w:val="000000" w:themeColor="text1"/>
                <w:sz w:val="20"/>
                <w:szCs w:val="20"/>
              </w:rPr>
              <w:t xml:space="preserve"> – </w:t>
            </w:r>
            <w:r w:rsidRPr="0072753B">
              <w:rPr>
                <w:rFonts w:asciiTheme="majorHAnsi" w:eastAsia="Times New Roman" w:hAnsiTheme="majorHAnsi" w:cstheme="majorHAnsi"/>
                <w:color w:val="000000" w:themeColor="text1"/>
                <w:sz w:val="20"/>
                <w:szCs w:val="20"/>
              </w:rPr>
              <w:t>2025</w:t>
            </w:r>
          </w:p>
        </w:tc>
        <w:tc>
          <w:tcPr>
            <w:tcW w:w="0" w:type="dxa"/>
          </w:tcPr>
          <w:p w14:paraId="34C2CD82" w14:textId="3067843F" w:rsidR="003F4836" w:rsidRPr="0072753B" w:rsidRDefault="00C969E4"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0B87434D"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15EA003" w14:textId="1BB3833C" w:rsidR="00DC718B"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34</w:t>
            </w:r>
          </w:p>
        </w:tc>
        <w:tc>
          <w:tcPr>
            <w:tcW w:w="0" w:type="dxa"/>
            <w:tcMar>
              <w:top w:w="85" w:type="dxa"/>
              <w:bottom w:w="85" w:type="dxa"/>
            </w:tcMar>
          </w:tcPr>
          <w:p w14:paraId="422400FF" w14:textId="77777777" w:rsidR="00DC718B" w:rsidRPr="0072753B" w:rsidRDefault="004365A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Feminist Forum – From the Women of the Pacifi</w:t>
            </w:r>
            <w:r w:rsidR="003B5927" w:rsidRPr="0072753B">
              <w:rPr>
                <w:rFonts w:asciiTheme="majorHAnsi" w:hAnsiTheme="majorHAnsi" w:cstheme="majorHAnsi"/>
                <w:sz w:val="20"/>
                <w:szCs w:val="20"/>
              </w:rPr>
              <w:t>c to Global Feminist Engagement, Movement and Voice</w:t>
            </w:r>
          </w:p>
          <w:p w14:paraId="3244634D" w14:textId="77777777" w:rsidR="003B5927" w:rsidRPr="0072753B" w:rsidRDefault="003B592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62D7660" w14:textId="231D9DCA" w:rsidR="003B5927" w:rsidRPr="0072753B" w:rsidRDefault="003B592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(International Women’s Development </w:t>
            </w:r>
            <w:r w:rsidR="00C741A2" w:rsidRPr="0072753B">
              <w:rPr>
                <w:rFonts w:asciiTheme="majorHAnsi" w:hAnsiTheme="majorHAnsi" w:cstheme="majorHAnsi"/>
                <w:sz w:val="20"/>
                <w:szCs w:val="20"/>
              </w:rPr>
              <w:t>Agency</w:t>
            </w:r>
            <w:r w:rsidRPr="0072753B">
              <w:rPr>
                <w:rFonts w:asciiTheme="majorHAnsi" w:hAnsiTheme="majorHAnsi" w:cstheme="majorHAnsi"/>
                <w:sz w:val="20"/>
                <w:szCs w:val="20"/>
              </w:rPr>
              <w:t>)</w:t>
            </w:r>
          </w:p>
        </w:tc>
        <w:tc>
          <w:tcPr>
            <w:tcW w:w="0" w:type="dxa"/>
            <w:tcMar>
              <w:top w:w="85" w:type="dxa"/>
              <w:bottom w:w="85" w:type="dxa"/>
            </w:tcMar>
          </w:tcPr>
          <w:p w14:paraId="1922E7D7" w14:textId="72F22746" w:rsidR="00DC718B" w:rsidRPr="0072753B" w:rsidRDefault="00C4675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The project will be implemented by </w:t>
            </w:r>
            <w:r w:rsidR="0043504B" w:rsidRPr="0072753B">
              <w:rPr>
                <w:rFonts w:asciiTheme="majorHAnsi" w:hAnsiTheme="majorHAnsi" w:cstheme="majorHAnsi"/>
                <w:color w:val="000000"/>
                <w:sz w:val="20"/>
                <w:szCs w:val="20"/>
              </w:rPr>
              <w:t xml:space="preserve">the </w:t>
            </w:r>
            <w:r w:rsidRPr="0072753B">
              <w:rPr>
                <w:rFonts w:asciiTheme="majorHAnsi" w:hAnsiTheme="majorHAnsi" w:cstheme="majorHAnsi"/>
                <w:color w:val="000000"/>
                <w:sz w:val="20"/>
                <w:szCs w:val="20"/>
              </w:rPr>
              <w:t>We Rise Coalition, which includes</w:t>
            </w:r>
            <w:r w:rsidR="009C77F7" w:rsidRPr="0072753B">
              <w:rPr>
                <w:rFonts w:asciiTheme="majorHAnsi" w:hAnsiTheme="majorHAnsi" w:cstheme="majorHAnsi"/>
                <w:color w:val="000000"/>
                <w:sz w:val="20"/>
                <w:szCs w:val="20"/>
              </w:rPr>
              <w:t xml:space="preserve"> </w:t>
            </w:r>
            <w:proofErr w:type="spellStart"/>
            <w:r w:rsidR="0062599F" w:rsidRPr="0072753B">
              <w:rPr>
                <w:rFonts w:asciiTheme="majorHAnsi" w:hAnsiTheme="majorHAnsi" w:cstheme="majorHAnsi"/>
                <w:color w:val="000000"/>
                <w:sz w:val="20"/>
                <w:szCs w:val="20"/>
              </w:rPr>
              <w:t>FemLink</w:t>
            </w:r>
            <w:proofErr w:type="spellEnd"/>
            <w:r w:rsidR="0062599F" w:rsidRPr="0072753B">
              <w:rPr>
                <w:rFonts w:asciiTheme="majorHAnsi" w:hAnsiTheme="majorHAnsi" w:cstheme="majorHAnsi"/>
                <w:color w:val="000000"/>
                <w:sz w:val="20"/>
                <w:szCs w:val="20"/>
              </w:rPr>
              <w:t>,</w:t>
            </w:r>
            <w:r w:rsidRPr="0072753B">
              <w:rPr>
                <w:rFonts w:asciiTheme="majorHAnsi" w:hAnsiTheme="majorHAnsi" w:cstheme="majorHAnsi"/>
                <w:color w:val="000000"/>
                <w:sz w:val="20"/>
                <w:szCs w:val="20"/>
              </w:rPr>
              <w:t xml:space="preserve"> FWRM, Brown Girl Woke in Samoa, Sista in Vanuatu and Voice for Change in PNG</w:t>
            </w:r>
            <w:r w:rsidR="002F290F" w:rsidRPr="0072753B">
              <w:rPr>
                <w:rFonts w:asciiTheme="majorHAnsi" w:hAnsiTheme="majorHAnsi" w:cstheme="majorHAnsi"/>
                <w:color w:val="000000"/>
                <w:sz w:val="20"/>
                <w:szCs w:val="20"/>
              </w:rPr>
              <w:t>.</w:t>
            </w:r>
          </w:p>
        </w:tc>
        <w:tc>
          <w:tcPr>
            <w:tcW w:w="0" w:type="dxa"/>
            <w:tcMar>
              <w:top w:w="85" w:type="dxa"/>
              <w:bottom w:w="85" w:type="dxa"/>
            </w:tcMar>
          </w:tcPr>
          <w:p w14:paraId="6B24E7F6" w14:textId="77777777" w:rsidR="00DC718B" w:rsidRPr="0072753B" w:rsidRDefault="00DC718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1C78FCF2" w14:textId="77777777" w:rsidR="00DC718B" w:rsidRPr="0072753B" w:rsidRDefault="006A594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$500,000</w:t>
            </w:r>
          </w:p>
          <w:p w14:paraId="0AB28013" w14:textId="77777777" w:rsidR="006A5943" w:rsidRPr="0072753B" w:rsidRDefault="006A594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01E3C5CD" w14:textId="3B736B9C" w:rsidR="006A5943" w:rsidRPr="0072753B" w:rsidRDefault="006A594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2025</w:t>
            </w:r>
          </w:p>
        </w:tc>
        <w:tc>
          <w:tcPr>
            <w:tcW w:w="0" w:type="dxa"/>
          </w:tcPr>
          <w:p w14:paraId="1A27FFA6" w14:textId="70804B7C" w:rsidR="002E153F" w:rsidRPr="0072753B" w:rsidRDefault="006A594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6604F383"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DF64009" w14:textId="1ED01456" w:rsidR="002E153F"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35</w:t>
            </w:r>
          </w:p>
        </w:tc>
        <w:tc>
          <w:tcPr>
            <w:tcW w:w="0" w:type="dxa"/>
            <w:tcMar>
              <w:top w:w="85" w:type="dxa"/>
              <w:bottom w:w="85" w:type="dxa"/>
            </w:tcMar>
          </w:tcPr>
          <w:p w14:paraId="37D0C6C5" w14:textId="77777777" w:rsidR="002E153F" w:rsidRPr="0072753B" w:rsidRDefault="002B6599"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Oceania </w:t>
            </w:r>
            <w:r w:rsidR="0007467C" w:rsidRPr="0072753B">
              <w:rPr>
                <w:rFonts w:asciiTheme="majorHAnsi" w:hAnsiTheme="majorHAnsi" w:cstheme="majorHAnsi"/>
                <w:sz w:val="20"/>
                <w:szCs w:val="20"/>
              </w:rPr>
              <w:t>Faith Communities Advancing Safety and Equality</w:t>
            </w:r>
          </w:p>
          <w:p w14:paraId="645595C3" w14:textId="77777777" w:rsidR="0007467C" w:rsidRPr="0072753B" w:rsidRDefault="0007467C"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036506" w14:textId="0BCDD5B1" w:rsidR="0007467C" w:rsidRPr="0072753B" w:rsidRDefault="0073247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(Uniting World)</w:t>
            </w:r>
          </w:p>
        </w:tc>
        <w:tc>
          <w:tcPr>
            <w:tcW w:w="0" w:type="dxa"/>
            <w:tcMar>
              <w:top w:w="85" w:type="dxa"/>
              <w:bottom w:w="85" w:type="dxa"/>
            </w:tcMar>
          </w:tcPr>
          <w:p w14:paraId="3C476328" w14:textId="653589DF" w:rsidR="002E153F" w:rsidRPr="0072753B" w:rsidRDefault="00F3535A"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Establish a first of its kind, regional safe and Equal Oceania Churches Community of Practice (CoP). It aligns with PWL outcome areas: realising women’s rights, promoting women’s leadership and supporting effective regional gender equality efforts</w:t>
            </w:r>
            <w:r w:rsidR="002F290F" w:rsidRPr="0072753B">
              <w:rPr>
                <w:rFonts w:asciiTheme="majorHAnsi" w:hAnsiTheme="majorHAnsi" w:cstheme="majorHAnsi"/>
                <w:color w:val="000000"/>
                <w:sz w:val="20"/>
                <w:szCs w:val="20"/>
              </w:rPr>
              <w:t>.</w:t>
            </w:r>
          </w:p>
        </w:tc>
        <w:tc>
          <w:tcPr>
            <w:tcW w:w="0" w:type="dxa"/>
            <w:tcMar>
              <w:top w:w="85" w:type="dxa"/>
              <w:bottom w:w="85" w:type="dxa"/>
            </w:tcMar>
          </w:tcPr>
          <w:p w14:paraId="19B3D66B" w14:textId="77777777" w:rsidR="002E153F" w:rsidRPr="0072753B" w:rsidRDefault="002E153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4E21F258" w14:textId="2E05CB6B" w:rsidR="00732475" w:rsidRPr="0072753B" w:rsidRDefault="00732475"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$500,000</w:t>
            </w:r>
          </w:p>
          <w:p w14:paraId="768B580C" w14:textId="77777777" w:rsidR="002E153F" w:rsidRPr="0072753B" w:rsidRDefault="002E153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p>
          <w:p w14:paraId="23357507" w14:textId="7D802D13" w:rsidR="00732475" w:rsidRPr="0072753B" w:rsidRDefault="0073247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2025</w:t>
            </w:r>
          </w:p>
        </w:tc>
        <w:tc>
          <w:tcPr>
            <w:tcW w:w="0" w:type="dxa"/>
          </w:tcPr>
          <w:p w14:paraId="54D7632F" w14:textId="4856760E" w:rsidR="002E153F" w:rsidRPr="0072753B" w:rsidRDefault="00960E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2FE580D7"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9C8CE4E" w14:textId="367DDEBB" w:rsidR="00020D5D"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36</w:t>
            </w:r>
          </w:p>
        </w:tc>
        <w:tc>
          <w:tcPr>
            <w:tcW w:w="0" w:type="dxa"/>
            <w:tcMar>
              <w:top w:w="85" w:type="dxa"/>
              <w:bottom w:w="85" w:type="dxa"/>
            </w:tcMar>
          </w:tcPr>
          <w:p w14:paraId="55686092" w14:textId="77777777" w:rsidR="0043504B" w:rsidRPr="0072753B" w:rsidRDefault="00310279"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ULOA DIERM Building </w:t>
            </w:r>
          </w:p>
          <w:p w14:paraId="550235A8" w14:textId="028F7AD8" w:rsidR="00020D5D" w:rsidRPr="0072753B" w:rsidRDefault="00310279"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(Diversity, Inclusion, Engagement, Resilience, Movement)</w:t>
            </w:r>
          </w:p>
          <w:p w14:paraId="2F08073D" w14:textId="77777777" w:rsidR="00470FB5" w:rsidRPr="0072753B" w:rsidRDefault="00470FB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79F7F45" w14:textId="561D1537" w:rsidR="00470FB5" w:rsidRPr="0072753B" w:rsidRDefault="00470FB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 Women and Children Crisis Centre</w:t>
            </w:r>
            <w:r w:rsidR="00696598" w:rsidRPr="0072753B">
              <w:rPr>
                <w:rFonts w:asciiTheme="majorHAnsi" w:hAnsiTheme="majorHAnsi" w:cstheme="majorHAnsi"/>
                <w:sz w:val="20"/>
                <w:szCs w:val="20"/>
              </w:rPr>
              <w:t xml:space="preserve"> (WCCC)</w:t>
            </w:r>
          </w:p>
        </w:tc>
        <w:tc>
          <w:tcPr>
            <w:tcW w:w="0" w:type="dxa"/>
            <w:tcMar>
              <w:top w:w="85" w:type="dxa"/>
              <w:bottom w:w="85" w:type="dxa"/>
            </w:tcMar>
          </w:tcPr>
          <w:p w14:paraId="1CE25A5A" w14:textId="40F3E89E" w:rsidR="00020D5D" w:rsidRPr="0072753B" w:rsidRDefault="00696598"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The project will support e</w:t>
            </w:r>
            <w:r w:rsidR="002F290F" w:rsidRPr="0072753B">
              <w:rPr>
                <w:rFonts w:asciiTheme="majorHAnsi" w:hAnsiTheme="majorHAnsi" w:cstheme="majorHAnsi"/>
                <w:color w:val="000000"/>
                <w:sz w:val="20"/>
                <w:szCs w:val="20"/>
              </w:rPr>
              <w:t>stablishment of local women’s empowerment groups at the village/district grassroots level.</w:t>
            </w:r>
            <w:r w:rsidRPr="0072753B">
              <w:rPr>
                <w:rFonts w:asciiTheme="majorHAnsi" w:hAnsiTheme="majorHAnsi" w:cstheme="majorHAnsi"/>
                <w:color w:val="000000"/>
                <w:sz w:val="20"/>
                <w:szCs w:val="20"/>
              </w:rPr>
              <w:t xml:space="preserve"> Consultations with these groups will ensure women and girls voice is </w:t>
            </w:r>
            <w:r w:rsidR="00AB03C8" w:rsidRPr="0072753B">
              <w:rPr>
                <w:rFonts w:asciiTheme="majorHAnsi" w:hAnsiTheme="majorHAnsi" w:cstheme="majorHAnsi"/>
                <w:color w:val="000000"/>
                <w:sz w:val="20"/>
                <w:szCs w:val="20"/>
              </w:rPr>
              <w:t xml:space="preserve">informing Tongan development policies. </w:t>
            </w:r>
          </w:p>
        </w:tc>
        <w:tc>
          <w:tcPr>
            <w:tcW w:w="0" w:type="dxa"/>
            <w:tcMar>
              <w:top w:w="85" w:type="dxa"/>
              <w:bottom w:w="85" w:type="dxa"/>
            </w:tcMar>
          </w:tcPr>
          <w:p w14:paraId="32B0F1D5" w14:textId="24067D75" w:rsidR="00020D5D" w:rsidRPr="0072753B" w:rsidRDefault="00470FB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tc>
        <w:tc>
          <w:tcPr>
            <w:tcW w:w="0" w:type="dxa"/>
          </w:tcPr>
          <w:p w14:paraId="1468745B" w14:textId="77777777" w:rsidR="00020D5D" w:rsidRPr="0072753B" w:rsidRDefault="00237BBC"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$500,000</w:t>
            </w:r>
          </w:p>
          <w:p w14:paraId="50DE8CAD" w14:textId="77777777" w:rsidR="00237BBC" w:rsidRPr="0072753B" w:rsidRDefault="00237BBC"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493A48A0" w14:textId="6F97C9F5" w:rsidR="00237BBC" w:rsidRPr="0072753B" w:rsidRDefault="00237BBC"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0" w:type="dxa"/>
          </w:tcPr>
          <w:p w14:paraId="5C011091" w14:textId="16627613" w:rsidR="00020D5D" w:rsidRPr="0072753B" w:rsidRDefault="002F290F"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4E3BECA6"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3E62059" w14:textId="396C08D4" w:rsidR="009D2C92"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37</w:t>
            </w:r>
          </w:p>
        </w:tc>
        <w:tc>
          <w:tcPr>
            <w:tcW w:w="0" w:type="dxa"/>
            <w:tcMar>
              <w:top w:w="85" w:type="dxa"/>
              <w:bottom w:w="85" w:type="dxa"/>
            </w:tcMar>
          </w:tcPr>
          <w:p w14:paraId="24FB6B66" w14:textId="77777777" w:rsidR="009D2C92" w:rsidRPr="0072753B" w:rsidRDefault="00507621"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My Body! My Rights!</w:t>
            </w:r>
          </w:p>
          <w:p w14:paraId="26962A37" w14:textId="77777777" w:rsidR="00507621" w:rsidRPr="0072753B" w:rsidRDefault="00507621"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E73C5D4" w14:textId="5AFC7FBC" w:rsidR="00507621" w:rsidRPr="0072753B" w:rsidRDefault="00507621"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(Talitha Project Incorporated)</w:t>
            </w:r>
          </w:p>
        </w:tc>
        <w:tc>
          <w:tcPr>
            <w:tcW w:w="0" w:type="dxa"/>
            <w:tcMar>
              <w:top w:w="85" w:type="dxa"/>
              <w:bottom w:w="85" w:type="dxa"/>
            </w:tcMar>
          </w:tcPr>
          <w:p w14:paraId="6A794B80" w14:textId="06BB233E" w:rsidR="009D2C92" w:rsidRPr="0072753B" w:rsidRDefault="002F6B56"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The project works with adolescent girls, civil society organisations, communities, schools, and government agencies to empower girls with the knowledge, information, and skills they need to make </w:t>
            </w:r>
            <w:r w:rsidRPr="0072753B">
              <w:rPr>
                <w:rFonts w:asciiTheme="majorHAnsi" w:hAnsiTheme="majorHAnsi" w:cstheme="majorHAnsi"/>
                <w:color w:val="000000"/>
                <w:sz w:val="20"/>
                <w:szCs w:val="20"/>
              </w:rPr>
              <w:lastRenderedPageBreak/>
              <w:t>informed decisions about their lives.</w:t>
            </w:r>
          </w:p>
        </w:tc>
        <w:tc>
          <w:tcPr>
            <w:tcW w:w="0" w:type="dxa"/>
            <w:tcMar>
              <w:top w:w="85" w:type="dxa"/>
              <w:bottom w:w="85" w:type="dxa"/>
            </w:tcMar>
          </w:tcPr>
          <w:p w14:paraId="4A526682" w14:textId="7BEA26F3" w:rsidR="009D2C92" w:rsidRPr="0072753B" w:rsidRDefault="006246F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Tonga</w:t>
            </w:r>
          </w:p>
        </w:tc>
        <w:tc>
          <w:tcPr>
            <w:tcW w:w="0" w:type="dxa"/>
          </w:tcPr>
          <w:p w14:paraId="590740FD" w14:textId="090D1CC3" w:rsidR="006246FF" w:rsidRPr="0072753B" w:rsidRDefault="006246FF"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w:t>
            </w:r>
            <w:r w:rsidR="00F37225" w:rsidRPr="0072753B">
              <w:rPr>
                <w:rFonts w:asciiTheme="majorHAnsi" w:hAnsiTheme="majorHAnsi" w:cstheme="majorHAnsi"/>
                <w:color w:val="000000"/>
                <w:sz w:val="20"/>
                <w:szCs w:val="20"/>
              </w:rPr>
              <w:t>92,510</w:t>
            </w:r>
          </w:p>
          <w:p w14:paraId="3139D56D" w14:textId="77777777" w:rsidR="00F37225" w:rsidRPr="0072753B" w:rsidRDefault="00F37225"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5633707A" w14:textId="7E3D862C" w:rsidR="009D2C92" w:rsidRPr="0072753B" w:rsidRDefault="006246FF"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r w:rsidR="00A2616E" w:rsidRPr="0072753B">
              <w:rPr>
                <w:rFonts w:asciiTheme="majorHAnsi" w:hAnsiTheme="majorHAnsi" w:cstheme="majorHAnsi"/>
                <w:color w:val="000000"/>
                <w:sz w:val="20"/>
                <w:szCs w:val="20"/>
              </w:rPr>
              <w:t xml:space="preserve"> – </w:t>
            </w:r>
            <w:r w:rsidRPr="0072753B">
              <w:rPr>
                <w:rFonts w:asciiTheme="majorHAnsi" w:hAnsiTheme="majorHAnsi" w:cstheme="majorHAnsi"/>
                <w:color w:val="000000"/>
                <w:sz w:val="20"/>
                <w:szCs w:val="20"/>
              </w:rPr>
              <w:t>2026</w:t>
            </w:r>
          </w:p>
        </w:tc>
        <w:tc>
          <w:tcPr>
            <w:tcW w:w="0" w:type="dxa"/>
          </w:tcPr>
          <w:p w14:paraId="0E6EDDB4" w14:textId="5AED6881" w:rsidR="009D2C92" w:rsidRPr="0072753B" w:rsidRDefault="00F3722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1CE2184B" w14:textId="77777777" w:rsidTr="00CA6E7B">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8825F8F" w14:textId="5CB0C676" w:rsidR="00C96D05"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38</w:t>
            </w:r>
          </w:p>
        </w:tc>
        <w:tc>
          <w:tcPr>
            <w:tcW w:w="0" w:type="dxa"/>
            <w:tcMar>
              <w:top w:w="85" w:type="dxa"/>
              <w:bottom w:w="85" w:type="dxa"/>
            </w:tcMar>
          </w:tcPr>
          <w:p w14:paraId="43CA708A" w14:textId="77777777" w:rsidR="00C96D05" w:rsidRPr="0072753B" w:rsidRDefault="00C96D05"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72753B">
              <w:rPr>
                <w:rFonts w:asciiTheme="majorHAnsi" w:hAnsiTheme="majorHAnsi" w:cstheme="majorHAnsi"/>
                <w:sz w:val="20"/>
                <w:szCs w:val="20"/>
              </w:rPr>
              <w:t>Lot</w:t>
            </w:r>
            <w:r w:rsidR="006117C0" w:rsidRPr="0072753B">
              <w:rPr>
                <w:rFonts w:asciiTheme="majorHAnsi" w:hAnsiTheme="majorHAnsi" w:cstheme="majorHAnsi"/>
                <w:sz w:val="20"/>
                <w:szCs w:val="20"/>
              </w:rPr>
              <w:t>otasi</w:t>
            </w:r>
            <w:proofErr w:type="spellEnd"/>
            <w:r w:rsidR="006117C0" w:rsidRPr="0072753B">
              <w:rPr>
                <w:rFonts w:asciiTheme="majorHAnsi" w:hAnsiTheme="majorHAnsi" w:cstheme="majorHAnsi"/>
                <w:sz w:val="20"/>
                <w:szCs w:val="20"/>
              </w:rPr>
              <w:t xml:space="preserve"> for Equality and Resilience</w:t>
            </w:r>
          </w:p>
          <w:p w14:paraId="737A5CF7" w14:textId="77777777" w:rsidR="006117C0" w:rsidRPr="0072753B" w:rsidRDefault="006117C0"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C98BE47" w14:textId="5461D967" w:rsidR="006117C0" w:rsidRPr="0072753B" w:rsidRDefault="006117C0"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(Gender Affairs Department of Ministry of Health, Social Affairs, and Gender)</w:t>
            </w:r>
          </w:p>
        </w:tc>
        <w:tc>
          <w:tcPr>
            <w:tcW w:w="0" w:type="dxa"/>
            <w:tcMar>
              <w:top w:w="85" w:type="dxa"/>
              <w:bottom w:w="85" w:type="dxa"/>
            </w:tcMar>
          </w:tcPr>
          <w:p w14:paraId="7AC86EA6" w14:textId="59CFFF47" w:rsidR="00C96D05" w:rsidRPr="0072753B" w:rsidRDefault="0043356F"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The project aims to transform harmful gender norms, promote gender equality and empower women and will support the implementation of Tuvalu National Gender Equity Policy.</w:t>
            </w:r>
          </w:p>
        </w:tc>
        <w:tc>
          <w:tcPr>
            <w:tcW w:w="0" w:type="dxa"/>
            <w:tcMar>
              <w:top w:w="85" w:type="dxa"/>
              <w:bottom w:w="85" w:type="dxa"/>
            </w:tcMar>
          </w:tcPr>
          <w:p w14:paraId="7649D3BB" w14:textId="46F3F28B" w:rsidR="00C96D05" w:rsidRPr="0072753B" w:rsidRDefault="00E46B9F"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r w:rsidR="002F6B56" w:rsidRPr="0072753B">
              <w:rPr>
                <w:rFonts w:asciiTheme="majorHAnsi" w:hAnsiTheme="majorHAnsi" w:cstheme="majorHAnsi"/>
                <w:sz w:val="20"/>
                <w:szCs w:val="20"/>
              </w:rPr>
              <w:t xml:space="preserve"> </w:t>
            </w:r>
          </w:p>
        </w:tc>
        <w:tc>
          <w:tcPr>
            <w:tcW w:w="0" w:type="dxa"/>
          </w:tcPr>
          <w:p w14:paraId="67032646" w14:textId="671FD996" w:rsidR="004B5A07" w:rsidRPr="0072753B" w:rsidRDefault="004B5A0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$300,000</w:t>
            </w:r>
          </w:p>
          <w:p w14:paraId="7C24D296" w14:textId="77777777" w:rsidR="00C96D05" w:rsidRPr="0072753B" w:rsidRDefault="00C96D05"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094CAFD6" w14:textId="279B0100" w:rsidR="004B5A07" w:rsidRPr="0072753B" w:rsidRDefault="004B5A0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r w:rsidR="00A2616E" w:rsidRPr="0072753B">
              <w:rPr>
                <w:rFonts w:asciiTheme="majorHAnsi" w:hAnsiTheme="majorHAnsi" w:cstheme="majorHAnsi"/>
                <w:color w:val="000000"/>
                <w:sz w:val="20"/>
                <w:szCs w:val="20"/>
              </w:rPr>
              <w:t xml:space="preserve"> – </w:t>
            </w:r>
            <w:r w:rsidRPr="0072753B">
              <w:rPr>
                <w:rFonts w:asciiTheme="majorHAnsi" w:hAnsiTheme="majorHAnsi" w:cstheme="majorHAnsi"/>
                <w:color w:val="000000"/>
                <w:sz w:val="20"/>
                <w:szCs w:val="20"/>
              </w:rPr>
              <w:t>2026</w:t>
            </w:r>
          </w:p>
        </w:tc>
        <w:tc>
          <w:tcPr>
            <w:tcW w:w="0" w:type="dxa"/>
          </w:tcPr>
          <w:p w14:paraId="5E0264CE" w14:textId="7B72DB48" w:rsidR="00D35EE9" w:rsidRPr="0072753B" w:rsidRDefault="004B5A0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r w:rsidR="0012022C" w:rsidRPr="0072753B" w14:paraId="548A06C7" w14:textId="77777777" w:rsidTr="00CA6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A27CAD6" w14:textId="67B10CE4" w:rsidR="00E6184F" w:rsidRPr="0072753B" w:rsidRDefault="00A905A1"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39</w:t>
            </w:r>
          </w:p>
        </w:tc>
        <w:tc>
          <w:tcPr>
            <w:tcW w:w="0" w:type="dxa"/>
            <w:tcMar>
              <w:top w:w="85" w:type="dxa"/>
              <w:bottom w:w="85" w:type="dxa"/>
            </w:tcMar>
          </w:tcPr>
          <w:p w14:paraId="1FAC640A" w14:textId="77777777" w:rsidR="00E6184F" w:rsidRPr="0072753B" w:rsidRDefault="00E6184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Laef Blo Mi, Vois Blo Mi</w:t>
            </w:r>
          </w:p>
          <w:p w14:paraId="05DA3EC7" w14:textId="77777777" w:rsidR="004D6D83" w:rsidRPr="0072753B" w:rsidRDefault="004D6D8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39D7E5C" w14:textId="02C0510E" w:rsidR="004D6D83" w:rsidRPr="0072753B" w:rsidRDefault="004D6D8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(CARE Australia)</w:t>
            </w:r>
          </w:p>
        </w:tc>
        <w:tc>
          <w:tcPr>
            <w:tcW w:w="0" w:type="dxa"/>
            <w:tcMar>
              <w:top w:w="85" w:type="dxa"/>
              <w:bottom w:w="85" w:type="dxa"/>
            </w:tcMar>
          </w:tcPr>
          <w:p w14:paraId="5AB52353" w14:textId="77777777" w:rsidR="008E59CD" w:rsidRPr="0072753B" w:rsidRDefault="008E59CD"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This project supports adolescent girls and boys to build confidence, life skills, and respectful relationships. It helps girls understand their rights, bodies, and potential, while also engaging boys to learn about gender equality and how to build healthier, more respectful relationships with girls. Communities, families, teachers, and service providers are encouraged to listen to and act on the needs and priorities of adolescent girls.</w:t>
            </w:r>
          </w:p>
          <w:p w14:paraId="2C056AC3" w14:textId="3D24F7D1" w:rsidR="00E6184F" w:rsidRPr="0072753B" w:rsidRDefault="008E59CD"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Key activities include strengthening the Adolescent Girls Advisory Group, running life skills and healthy relationship training in schools, and holding workshops for teachers and health workers. The project also supports girls to lead participatory research, helping them identify important issues in their communities and </w:t>
            </w:r>
            <w:r w:rsidRPr="0072753B">
              <w:rPr>
                <w:rFonts w:asciiTheme="majorHAnsi" w:hAnsiTheme="majorHAnsi" w:cstheme="majorHAnsi"/>
                <w:color w:val="000000"/>
                <w:sz w:val="20"/>
                <w:szCs w:val="20"/>
              </w:rPr>
              <w:lastRenderedPageBreak/>
              <w:t>turn them into advocacy and action.</w:t>
            </w:r>
          </w:p>
        </w:tc>
        <w:tc>
          <w:tcPr>
            <w:tcW w:w="0" w:type="dxa"/>
            <w:tcMar>
              <w:top w:w="85" w:type="dxa"/>
              <w:bottom w:w="85" w:type="dxa"/>
            </w:tcMar>
          </w:tcPr>
          <w:p w14:paraId="66DD7E6C" w14:textId="02A89699" w:rsidR="00E6184F" w:rsidRPr="0072753B" w:rsidRDefault="00106C8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Vanuatu</w:t>
            </w:r>
          </w:p>
        </w:tc>
        <w:tc>
          <w:tcPr>
            <w:tcW w:w="0" w:type="dxa"/>
          </w:tcPr>
          <w:p w14:paraId="1ED8DD58" w14:textId="19C530FB" w:rsidR="00106C8B" w:rsidRPr="0072753B" w:rsidRDefault="00106C8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$310,000</w:t>
            </w:r>
          </w:p>
          <w:p w14:paraId="1C832578" w14:textId="77777777" w:rsidR="00106C8B" w:rsidRPr="0072753B" w:rsidRDefault="00106C8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5A47EF4B" w14:textId="496B09FC" w:rsidR="00E6184F" w:rsidRPr="0072753B" w:rsidRDefault="004D6D83"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r w:rsidR="00A2616E" w:rsidRPr="0072753B">
              <w:rPr>
                <w:rFonts w:asciiTheme="majorHAnsi" w:hAnsiTheme="majorHAnsi" w:cstheme="majorHAnsi"/>
                <w:color w:val="000000"/>
                <w:sz w:val="20"/>
                <w:szCs w:val="20"/>
              </w:rPr>
              <w:t xml:space="preserve"> – </w:t>
            </w:r>
            <w:r w:rsidRPr="0072753B">
              <w:rPr>
                <w:rFonts w:asciiTheme="majorHAnsi" w:hAnsiTheme="majorHAnsi" w:cstheme="majorHAnsi"/>
                <w:color w:val="000000"/>
                <w:sz w:val="20"/>
                <w:szCs w:val="20"/>
              </w:rPr>
              <w:t>2026</w:t>
            </w:r>
          </w:p>
        </w:tc>
        <w:tc>
          <w:tcPr>
            <w:tcW w:w="0" w:type="dxa"/>
          </w:tcPr>
          <w:p w14:paraId="14B3E5F8" w14:textId="518F512F" w:rsidR="00E6184F" w:rsidRPr="0072753B" w:rsidRDefault="0042023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rPr>
            </w:pPr>
            <w:r w:rsidRPr="0072753B">
              <w:rPr>
                <w:rFonts w:asciiTheme="majorHAnsi" w:eastAsia="Times New Roman" w:hAnsiTheme="majorHAnsi" w:cstheme="majorHAnsi"/>
                <w:color w:val="000000" w:themeColor="text1"/>
                <w:sz w:val="20"/>
                <w:szCs w:val="20"/>
              </w:rPr>
              <w:t>Ongoing</w:t>
            </w:r>
          </w:p>
        </w:tc>
      </w:tr>
    </w:tbl>
    <w:p w14:paraId="71D69005" w14:textId="17885230" w:rsidR="00E34E37" w:rsidRPr="0072753B" w:rsidRDefault="00E34E37" w:rsidP="0072753B">
      <w:pPr>
        <w:pStyle w:val="Heading2"/>
        <w:rPr>
          <w:rFonts w:asciiTheme="majorHAnsi" w:hAnsiTheme="majorHAnsi"/>
        </w:rPr>
      </w:pPr>
      <w:bookmarkStart w:id="17" w:name="_Toc207912568"/>
      <w:bookmarkStart w:id="18" w:name="_Toc208777784"/>
      <w:bookmarkStart w:id="19" w:name="_Toc143779456"/>
      <w:bookmarkStart w:id="20" w:name="_Toc139038088"/>
      <w:bookmarkStart w:id="21" w:name="_Hlk143777718"/>
      <w:bookmarkEnd w:id="12"/>
      <w:r w:rsidRPr="0072753B">
        <w:rPr>
          <w:rFonts w:asciiTheme="majorHAnsi" w:hAnsiTheme="majorHAnsi"/>
        </w:rPr>
        <w:t>P</w:t>
      </w:r>
      <w:r w:rsidR="0074253B" w:rsidRPr="0072753B">
        <w:rPr>
          <w:rFonts w:asciiTheme="majorHAnsi" w:hAnsiTheme="majorHAnsi"/>
        </w:rPr>
        <w:t xml:space="preserve">acific Women Lead </w:t>
      </w:r>
      <w:r w:rsidRPr="0072753B">
        <w:rPr>
          <w:rFonts w:asciiTheme="majorHAnsi" w:hAnsiTheme="majorHAnsi"/>
        </w:rPr>
        <w:t>Governance Board</w:t>
      </w:r>
      <w:bookmarkEnd w:id="17"/>
      <w:bookmarkEnd w:id="18"/>
    </w:p>
    <w:p w14:paraId="01427336" w14:textId="211EACE4" w:rsidR="00CA4468" w:rsidRPr="0072753B" w:rsidRDefault="00CA4468" w:rsidP="0072753B">
      <w:pPr>
        <w:pStyle w:val="BodyText"/>
        <w:rPr>
          <w:rFonts w:asciiTheme="majorHAnsi" w:hAnsiTheme="majorHAnsi" w:cstheme="majorHAnsi"/>
          <w:szCs w:val="20"/>
        </w:rPr>
      </w:pPr>
      <w:bookmarkStart w:id="22" w:name="_Hlk192684163"/>
      <w:bookmarkStart w:id="23" w:name="_Toc185938067"/>
      <w:bookmarkStart w:id="24" w:name="_Hlk185812587"/>
      <w:r w:rsidRPr="0072753B">
        <w:rPr>
          <w:rFonts w:asciiTheme="majorHAnsi" w:hAnsiTheme="majorHAnsi" w:cstheme="majorHAnsi"/>
          <w:szCs w:val="20"/>
        </w:rPr>
        <w:t>The PWL Governance Board comprises 13 members, 12 of whom are from the Pacific region. DFAT’s Assistant Secretary of the Pacific Development Branch serves as an ex-officio member of the Board.</w:t>
      </w:r>
      <w:bookmarkEnd w:id="22"/>
      <w:r w:rsidRPr="0072753B">
        <w:rPr>
          <w:rFonts w:asciiTheme="majorHAnsi" w:hAnsiTheme="majorHAnsi" w:cstheme="majorHAnsi"/>
          <w:szCs w:val="20"/>
        </w:rPr>
        <w:t xml:space="preserve"> </w:t>
      </w:r>
      <w:r w:rsidR="00A850CF" w:rsidRPr="0072753B">
        <w:rPr>
          <w:rFonts w:asciiTheme="majorHAnsi" w:hAnsiTheme="majorHAnsi" w:cstheme="majorHAnsi"/>
          <w:szCs w:val="20"/>
        </w:rPr>
        <w:t xml:space="preserve">To learn more about the Governance Board and its members, visit: </w:t>
      </w:r>
      <w:hyperlink r:id="rId17" w:history="1">
        <w:r w:rsidR="00A850CF" w:rsidRPr="0072753B">
          <w:rPr>
            <w:rStyle w:val="Hyperlink"/>
            <w:rFonts w:asciiTheme="majorHAnsi" w:hAnsiTheme="majorHAnsi" w:cstheme="majorHAnsi"/>
            <w:szCs w:val="20"/>
          </w:rPr>
          <w:t>Pacific Women Lead - Our Board</w:t>
        </w:r>
      </w:hyperlink>
    </w:p>
    <w:p w14:paraId="0E9CE0F6" w14:textId="77777777" w:rsidR="00237DA9" w:rsidRPr="0072753B" w:rsidRDefault="00E51945" w:rsidP="0072753B">
      <w:pPr>
        <w:pStyle w:val="BodyText"/>
      </w:pPr>
      <w:r w:rsidRPr="0072753B">
        <w:rPr>
          <w:rFonts w:asciiTheme="majorHAnsi" w:hAnsiTheme="majorHAnsi" w:cstheme="majorHAnsi"/>
          <w:szCs w:val="20"/>
        </w:rPr>
        <w:t>The Board has a $5 million discretionary fund for projects that it can use to add value to and build on existing PWL activities.</w:t>
      </w:r>
      <w:r w:rsidRPr="0072753B">
        <w:t xml:space="preserve"> </w:t>
      </w:r>
    </w:p>
    <w:p w14:paraId="5F45E8E8" w14:textId="6E78372F" w:rsidR="0062599F" w:rsidRPr="0072753B" w:rsidRDefault="002722C8" w:rsidP="0072753B">
      <w:pPr>
        <w:pStyle w:val="BodyText"/>
        <w:rPr>
          <w:rFonts w:asciiTheme="majorHAnsi" w:hAnsiTheme="majorHAnsi" w:cstheme="majorHAnsi"/>
          <w:b/>
          <w:iCs/>
        </w:rPr>
      </w:pPr>
      <w:r w:rsidRPr="0072753B">
        <w:t>To date, t</w:t>
      </w:r>
      <w:r w:rsidR="00A850CF" w:rsidRPr="0072753B">
        <w:t xml:space="preserve">he Board funds </w:t>
      </w:r>
      <w:r w:rsidR="005E4C69" w:rsidRPr="0072753B">
        <w:t xml:space="preserve">2 </w:t>
      </w:r>
      <w:r w:rsidRPr="0072753B">
        <w:t xml:space="preserve">downstream implementing partner to implement </w:t>
      </w:r>
      <w:r w:rsidR="005E4C69" w:rsidRPr="0072753B">
        <w:t xml:space="preserve">2 </w:t>
      </w:r>
      <w:r w:rsidRPr="0072753B">
        <w:t>project</w:t>
      </w:r>
      <w:r w:rsidR="00C060ED" w:rsidRPr="0072753B">
        <w:t>s</w:t>
      </w:r>
      <w:r w:rsidRPr="0072753B">
        <w:t xml:space="preserve">. </w:t>
      </w:r>
      <w:r w:rsidR="005E4C69" w:rsidRPr="0072753B">
        <w:t xml:space="preserve">These </w:t>
      </w:r>
      <w:r w:rsidRPr="0072753B">
        <w:t>project</w:t>
      </w:r>
      <w:r w:rsidR="005E4C69" w:rsidRPr="0072753B">
        <w:t>s</w:t>
      </w:r>
      <w:r w:rsidRPr="0072753B">
        <w:t xml:space="preserve"> </w:t>
      </w:r>
      <w:r w:rsidR="00701176" w:rsidRPr="0072753B">
        <w:t>are ongoing</w:t>
      </w:r>
      <w:r w:rsidRPr="0072753B">
        <w:t xml:space="preserve">. </w:t>
      </w:r>
    </w:p>
    <w:p w14:paraId="3B9FF7D9" w14:textId="14EA08FA" w:rsidR="0057165E" w:rsidRPr="0072753B" w:rsidRDefault="00DD5CAB" w:rsidP="0072753B">
      <w:pPr>
        <w:pStyle w:val="BodyText"/>
        <w:rPr>
          <w:rFonts w:asciiTheme="majorHAnsi" w:hAnsiTheme="majorHAnsi" w:cstheme="majorHAnsi"/>
          <w:b/>
          <w:iCs/>
        </w:rPr>
      </w:pPr>
      <w:r w:rsidRPr="0072753B">
        <w:rPr>
          <w:rFonts w:asciiTheme="majorHAnsi" w:hAnsiTheme="majorHAnsi" w:cstheme="majorHAnsi"/>
          <w:b/>
          <w:iCs/>
        </w:rPr>
        <w:t>Table 4</w:t>
      </w:r>
      <w:r w:rsidR="0057165E" w:rsidRPr="0072753B">
        <w:rPr>
          <w:rFonts w:asciiTheme="majorHAnsi" w:hAnsiTheme="majorHAnsi" w:cstheme="majorHAnsi"/>
          <w:b/>
          <w:iCs/>
        </w:rPr>
        <w:t xml:space="preserve">: PWL Governance Board </w:t>
      </w:r>
      <w:r w:rsidR="00392051" w:rsidRPr="0072753B">
        <w:rPr>
          <w:rFonts w:asciiTheme="majorHAnsi" w:hAnsiTheme="majorHAnsi" w:cstheme="majorHAnsi"/>
          <w:b/>
          <w:iCs/>
        </w:rPr>
        <w:t xml:space="preserve">regional </w:t>
      </w:r>
      <w:r w:rsidR="00544389" w:rsidRPr="0072753B">
        <w:rPr>
          <w:rFonts w:asciiTheme="majorHAnsi" w:hAnsiTheme="majorHAnsi" w:cstheme="majorHAnsi"/>
          <w:b/>
          <w:iCs/>
        </w:rPr>
        <w:t>grants as</w:t>
      </w:r>
      <w:r w:rsidR="0057165E" w:rsidRPr="0072753B">
        <w:rPr>
          <w:rFonts w:asciiTheme="majorHAnsi" w:hAnsiTheme="majorHAnsi" w:cstheme="majorHAnsi"/>
          <w:b/>
          <w:iCs/>
        </w:rPr>
        <w:t xml:space="preserve"> </w:t>
      </w:r>
      <w:r w:rsidR="005E4C69" w:rsidRPr="0072753B">
        <w:rPr>
          <w:rFonts w:asciiTheme="majorHAnsi" w:hAnsiTheme="majorHAnsi" w:cstheme="majorHAnsi"/>
          <w:b/>
          <w:iCs/>
        </w:rPr>
        <w:t xml:space="preserve">of </w:t>
      </w:r>
      <w:r w:rsidR="0057165E" w:rsidRPr="0072753B">
        <w:rPr>
          <w:rFonts w:asciiTheme="majorHAnsi" w:hAnsiTheme="majorHAnsi" w:cstheme="majorHAnsi"/>
          <w:b/>
          <w:iCs/>
        </w:rPr>
        <w:t xml:space="preserve">31 </w:t>
      </w:r>
      <w:r w:rsidR="001234D2" w:rsidRPr="0072753B">
        <w:rPr>
          <w:rFonts w:asciiTheme="majorHAnsi" w:hAnsiTheme="majorHAnsi" w:cstheme="majorHAnsi"/>
          <w:b/>
          <w:iCs/>
        </w:rPr>
        <w:t>August 2025</w:t>
      </w:r>
    </w:p>
    <w:tbl>
      <w:tblPr>
        <w:tblStyle w:val="PlainTable2"/>
        <w:tblW w:w="14295" w:type="dxa"/>
        <w:tblInd w:w="25" w:type="dxa"/>
        <w:tblBorders>
          <w:top w:val="none" w:sz="0" w:space="0" w:color="auto"/>
          <w:left w:val="none" w:sz="0" w:space="0" w:color="auto"/>
          <w:bottom w:val="single" w:sz="4"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684"/>
        <w:gridCol w:w="3291"/>
        <w:gridCol w:w="3414"/>
        <w:gridCol w:w="2378"/>
        <w:gridCol w:w="2516"/>
        <w:gridCol w:w="2012"/>
      </w:tblGrid>
      <w:tr w:rsidR="00833CFC" w:rsidRPr="0072753B" w14:paraId="1AB2D87A" w14:textId="77777777" w:rsidTr="00833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Borders>
              <w:bottom w:val="single" w:sz="4" w:space="0" w:color="auto"/>
            </w:tcBorders>
            <w:shd w:val="clear" w:color="auto" w:fill="006699"/>
            <w:tcMar>
              <w:top w:w="85" w:type="dxa"/>
              <w:bottom w:w="85" w:type="dxa"/>
            </w:tcMar>
            <w:vAlign w:val="center"/>
          </w:tcPr>
          <w:p w14:paraId="02F40A3D" w14:textId="77777777" w:rsidR="0057165E" w:rsidRPr="0072753B" w:rsidRDefault="0057165E" w:rsidP="0072753B">
            <w:pPr>
              <w:pStyle w:val="BodyText"/>
              <w:rPr>
                <w:rFonts w:asciiTheme="majorHAnsi" w:hAnsiTheme="majorHAnsi" w:cstheme="majorHAnsi"/>
                <w:b w:val="0"/>
                <w:bCs w:val="0"/>
                <w:color w:val="FFFFFF" w:themeColor="background1"/>
              </w:rPr>
            </w:pPr>
            <w:r w:rsidRPr="0072753B">
              <w:rPr>
                <w:rFonts w:asciiTheme="majorHAnsi" w:hAnsiTheme="majorHAnsi" w:cstheme="majorHAnsi"/>
                <w:color w:val="FFFFFF" w:themeColor="background1"/>
              </w:rPr>
              <w:t>No.</w:t>
            </w:r>
          </w:p>
        </w:tc>
        <w:tc>
          <w:tcPr>
            <w:tcW w:w="3291" w:type="dxa"/>
            <w:tcBorders>
              <w:bottom w:val="single" w:sz="4" w:space="0" w:color="auto"/>
            </w:tcBorders>
            <w:shd w:val="clear" w:color="auto" w:fill="006699"/>
            <w:tcMar>
              <w:top w:w="85" w:type="dxa"/>
              <w:bottom w:w="85" w:type="dxa"/>
            </w:tcMar>
            <w:vAlign w:val="center"/>
          </w:tcPr>
          <w:p w14:paraId="673987CC" w14:textId="77777777" w:rsidR="0057165E" w:rsidRPr="0072753B" w:rsidRDefault="0057165E"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rPr>
            </w:pPr>
            <w:r w:rsidRPr="0072753B">
              <w:rPr>
                <w:rFonts w:asciiTheme="majorHAnsi" w:hAnsiTheme="majorHAnsi" w:cstheme="majorHAnsi"/>
                <w:color w:val="FFFFFF" w:themeColor="background1"/>
              </w:rPr>
              <w:t>Project name and partner</w:t>
            </w:r>
          </w:p>
        </w:tc>
        <w:tc>
          <w:tcPr>
            <w:tcW w:w="3414" w:type="dxa"/>
            <w:tcBorders>
              <w:bottom w:val="single" w:sz="4" w:space="0" w:color="auto"/>
            </w:tcBorders>
            <w:shd w:val="clear" w:color="auto" w:fill="006699"/>
            <w:tcMar>
              <w:top w:w="85" w:type="dxa"/>
              <w:bottom w:w="85" w:type="dxa"/>
            </w:tcMar>
            <w:vAlign w:val="center"/>
          </w:tcPr>
          <w:p w14:paraId="251B7B73" w14:textId="77777777" w:rsidR="0057165E" w:rsidRPr="0072753B" w:rsidRDefault="0057165E"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rPr>
            </w:pPr>
            <w:r w:rsidRPr="0072753B">
              <w:rPr>
                <w:rFonts w:asciiTheme="majorHAnsi" w:hAnsiTheme="majorHAnsi" w:cstheme="majorHAnsi"/>
                <w:color w:val="FFFFFF" w:themeColor="background1"/>
              </w:rPr>
              <w:t>Project description</w:t>
            </w:r>
          </w:p>
        </w:tc>
        <w:tc>
          <w:tcPr>
            <w:tcW w:w="2378" w:type="dxa"/>
            <w:tcBorders>
              <w:bottom w:val="single" w:sz="4" w:space="0" w:color="auto"/>
            </w:tcBorders>
            <w:shd w:val="clear" w:color="auto" w:fill="006699"/>
            <w:tcMar>
              <w:top w:w="85" w:type="dxa"/>
              <w:bottom w:w="85" w:type="dxa"/>
            </w:tcMar>
            <w:vAlign w:val="center"/>
          </w:tcPr>
          <w:p w14:paraId="2A5BA932" w14:textId="77777777" w:rsidR="0057165E" w:rsidRPr="0072753B" w:rsidRDefault="0057165E"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72753B">
              <w:rPr>
                <w:rFonts w:asciiTheme="majorHAnsi" w:hAnsiTheme="majorHAnsi" w:cstheme="majorHAnsi"/>
                <w:color w:val="FFFFFF" w:themeColor="background1"/>
              </w:rPr>
              <w:t>Countries</w:t>
            </w:r>
          </w:p>
        </w:tc>
        <w:tc>
          <w:tcPr>
            <w:tcW w:w="2516" w:type="dxa"/>
            <w:tcBorders>
              <w:bottom w:val="single" w:sz="4" w:space="0" w:color="auto"/>
            </w:tcBorders>
            <w:shd w:val="clear" w:color="auto" w:fill="006699"/>
          </w:tcPr>
          <w:p w14:paraId="1976A268" w14:textId="77777777" w:rsidR="0057165E" w:rsidRPr="0072753B" w:rsidRDefault="0057165E"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72753B">
              <w:rPr>
                <w:rFonts w:asciiTheme="majorHAnsi" w:hAnsiTheme="majorHAnsi" w:cstheme="majorHAnsi"/>
                <w:color w:val="FFFFFF" w:themeColor="background1"/>
              </w:rPr>
              <w:t>Value (AUD) / timeframe</w:t>
            </w:r>
          </w:p>
        </w:tc>
        <w:tc>
          <w:tcPr>
            <w:tcW w:w="2012" w:type="dxa"/>
            <w:tcBorders>
              <w:bottom w:val="single" w:sz="4" w:space="0" w:color="auto"/>
            </w:tcBorders>
            <w:shd w:val="clear" w:color="auto" w:fill="006699"/>
          </w:tcPr>
          <w:p w14:paraId="77412EF1" w14:textId="77777777" w:rsidR="0057165E" w:rsidRPr="0072753B" w:rsidRDefault="0057165E"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72753B">
              <w:rPr>
                <w:rFonts w:asciiTheme="majorHAnsi" w:hAnsiTheme="majorHAnsi" w:cstheme="majorHAnsi"/>
                <w:color w:val="FFFFFF" w:themeColor="background1"/>
              </w:rPr>
              <w:t xml:space="preserve">Project status </w:t>
            </w:r>
          </w:p>
        </w:tc>
      </w:tr>
      <w:tr w:rsidR="0012022C" w:rsidRPr="0072753B" w14:paraId="71E86C4E"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Borders>
              <w:top w:val="single" w:sz="4" w:space="0" w:color="auto"/>
            </w:tcBorders>
            <w:tcMar>
              <w:top w:w="85" w:type="dxa"/>
              <w:bottom w:w="85" w:type="dxa"/>
            </w:tcMar>
          </w:tcPr>
          <w:p w14:paraId="5A277CC9" w14:textId="77777777" w:rsidR="0057165E" w:rsidRPr="0072753B" w:rsidRDefault="0057165E" w:rsidP="0072753B">
            <w:pPr>
              <w:pStyle w:val="BodyText"/>
              <w:spacing w:after="0"/>
              <w:rPr>
                <w:rFonts w:asciiTheme="majorHAnsi" w:hAnsiTheme="majorHAnsi" w:cstheme="majorHAnsi"/>
              </w:rPr>
            </w:pPr>
            <w:r w:rsidRPr="0072753B">
              <w:rPr>
                <w:rFonts w:asciiTheme="majorHAnsi" w:hAnsiTheme="majorHAnsi" w:cstheme="majorHAnsi"/>
              </w:rPr>
              <w:t>1</w:t>
            </w:r>
          </w:p>
        </w:tc>
        <w:tc>
          <w:tcPr>
            <w:tcW w:w="3291" w:type="dxa"/>
            <w:tcBorders>
              <w:top w:val="single" w:sz="4" w:space="0" w:color="auto"/>
            </w:tcBorders>
            <w:tcMar>
              <w:top w:w="85" w:type="dxa"/>
              <w:bottom w:w="85" w:type="dxa"/>
            </w:tcMar>
          </w:tcPr>
          <w:p w14:paraId="0B2CB39E" w14:textId="21660B6F" w:rsidR="0057165E" w:rsidRPr="0072753B" w:rsidRDefault="00260987" w:rsidP="0072753B">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Advancing the sexuality agenda and shifting norms in the Pacific through improving access to sexual and reproductive rights and gender equality. </w:t>
            </w:r>
          </w:p>
          <w:p w14:paraId="785376EA" w14:textId="6F3833A9" w:rsidR="0057165E" w:rsidRPr="0072753B" w:rsidRDefault="00260987" w:rsidP="0072753B">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w:t>
            </w:r>
            <w:r w:rsidR="0057165E" w:rsidRPr="0072753B">
              <w:rPr>
                <w:rFonts w:asciiTheme="majorHAnsi" w:hAnsiTheme="majorHAnsi" w:cstheme="majorHAnsi"/>
              </w:rPr>
              <w:t>International Planned Parenthood Federation</w:t>
            </w:r>
            <w:r w:rsidRPr="0072753B">
              <w:rPr>
                <w:rFonts w:asciiTheme="majorHAnsi" w:hAnsiTheme="majorHAnsi" w:cstheme="majorHAnsi"/>
              </w:rPr>
              <w:t xml:space="preserve"> - </w:t>
            </w:r>
            <w:r w:rsidR="0057165E" w:rsidRPr="0072753B">
              <w:rPr>
                <w:rFonts w:asciiTheme="majorHAnsi" w:hAnsiTheme="majorHAnsi" w:cstheme="majorHAnsi"/>
              </w:rPr>
              <w:t>IPPF)</w:t>
            </w:r>
          </w:p>
        </w:tc>
        <w:tc>
          <w:tcPr>
            <w:tcW w:w="3414" w:type="dxa"/>
            <w:tcBorders>
              <w:top w:val="single" w:sz="4" w:space="0" w:color="auto"/>
            </w:tcBorders>
            <w:tcMar>
              <w:top w:w="85" w:type="dxa"/>
              <w:bottom w:w="85" w:type="dxa"/>
            </w:tcMar>
          </w:tcPr>
          <w:p w14:paraId="3505E086" w14:textId="4AF3B9A5" w:rsidR="0057165E" w:rsidRPr="0072753B" w:rsidRDefault="00A813C3" w:rsidP="0072753B">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 xml:space="preserve">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w:t>
            </w:r>
            <w:r w:rsidR="00CE78C4" w:rsidRPr="0072753B">
              <w:rPr>
                <w:rFonts w:asciiTheme="majorHAnsi" w:hAnsiTheme="majorHAnsi" w:cstheme="majorHAnsi"/>
              </w:rPr>
              <w:t>seek</w:t>
            </w:r>
            <w:r w:rsidRPr="0072753B">
              <w:rPr>
                <w:rFonts w:asciiTheme="majorHAnsi" w:hAnsiTheme="majorHAnsi" w:cstheme="majorHAnsi"/>
              </w:rPr>
              <w:t xml:space="preserve"> to strengthen SRHR programming targeting </w:t>
            </w:r>
            <w:r w:rsidRPr="0072753B">
              <w:rPr>
                <w:rFonts w:asciiTheme="majorHAnsi" w:hAnsiTheme="majorHAnsi" w:cstheme="majorHAnsi"/>
              </w:rPr>
              <w:lastRenderedPageBreak/>
              <w:t>Pacific adolescents and young people through youth network development, capacity building, and advocacy. </w:t>
            </w:r>
          </w:p>
        </w:tc>
        <w:tc>
          <w:tcPr>
            <w:tcW w:w="2378" w:type="dxa"/>
            <w:tcBorders>
              <w:top w:val="single" w:sz="4" w:space="0" w:color="auto"/>
            </w:tcBorders>
            <w:tcMar>
              <w:top w:w="85" w:type="dxa"/>
              <w:bottom w:w="85" w:type="dxa"/>
            </w:tcMar>
          </w:tcPr>
          <w:p w14:paraId="3E6237AA" w14:textId="6F879788" w:rsidR="0057165E"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lastRenderedPageBreak/>
              <w:t>Cook Is</w:t>
            </w:r>
            <w:r w:rsidR="006A283B" w:rsidRPr="0072753B">
              <w:rPr>
                <w:rFonts w:asciiTheme="majorHAnsi" w:hAnsiTheme="majorHAnsi" w:cstheme="majorHAnsi"/>
              </w:rPr>
              <w:t>land</w:t>
            </w:r>
            <w:r w:rsidR="00701176" w:rsidRPr="0072753B">
              <w:rPr>
                <w:rFonts w:asciiTheme="majorHAnsi" w:hAnsiTheme="majorHAnsi" w:cstheme="majorHAnsi"/>
              </w:rPr>
              <w:t>s</w:t>
            </w:r>
          </w:p>
          <w:p w14:paraId="2962E62F" w14:textId="0CD5E007"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Kiribati</w:t>
            </w:r>
          </w:p>
          <w:p w14:paraId="22654C86" w14:textId="5104EED3"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PNG</w:t>
            </w:r>
          </w:p>
          <w:p w14:paraId="49C31EEC" w14:textId="635F6A41"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Fiji</w:t>
            </w:r>
          </w:p>
          <w:p w14:paraId="781D5128" w14:textId="5F2560C2"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Samoa</w:t>
            </w:r>
          </w:p>
          <w:p w14:paraId="75D7A1A2" w14:textId="166339E2"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Solomon Is</w:t>
            </w:r>
            <w:r w:rsidR="006A283B" w:rsidRPr="0072753B">
              <w:rPr>
                <w:rFonts w:asciiTheme="majorHAnsi" w:hAnsiTheme="majorHAnsi" w:cstheme="majorHAnsi"/>
              </w:rPr>
              <w:t>land</w:t>
            </w:r>
            <w:r w:rsidR="00701176" w:rsidRPr="0072753B">
              <w:rPr>
                <w:rFonts w:asciiTheme="majorHAnsi" w:hAnsiTheme="majorHAnsi" w:cstheme="majorHAnsi"/>
              </w:rPr>
              <w:t>s</w:t>
            </w:r>
          </w:p>
          <w:p w14:paraId="0914DAF9" w14:textId="06DEDEA4"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Tonga</w:t>
            </w:r>
          </w:p>
          <w:p w14:paraId="5FF475E1" w14:textId="0EC093C7"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Tuvalu</w:t>
            </w:r>
          </w:p>
          <w:p w14:paraId="130E1012" w14:textId="62D94815" w:rsidR="008A25C4"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Vanuatu</w:t>
            </w:r>
          </w:p>
          <w:p w14:paraId="759AD30A" w14:textId="011FE81A" w:rsidR="00A813C3" w:rsidRPr="0072753B" w:rsidRDefault="008A25C4"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RMI</w:t>
            </w:r>
          </w:p>
        </w:tc>
        <w:tc>
          <w:tcPr>
            <w:tcW w:w="2516" w:type="dxa"/>
            <w:tcBorders>
              <w:top w:val="single" w:sz="4" w:space="0" w:color="auto"/>
            </w:tcBorders>
          </w:tcPr>
          <w:p w14:paraId="39112AB0" w14:textId="792D8453" w:rsidR="00340B08" w:rsidRPr="0072753B" w:rsidRDefault="00A813C3"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$798,750</w:t>
            </w:r>
          </w:p>
          <w:p w14:paraId="3453F516" w14:textId="77777777" w:rsidR="00340B08" w:rsidRPr="0072753B" w:rsidRDefault="00340B08"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A5E8D4F" w14:textId="32F09720" w:rsidR="00A813C3" w:rsidRPr="0072753B" w:rsidRDefault="00A813C3" w:rsidP="0072753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202</w:t>
            </w:r>
            <w:r w:rsidR="00CE78C4" w:rsidRPr="0072753B">
              <w:rPr>
                <w:rFonts w:asciiTheme="majorHAnsi" w:hAnsiTheme="majorHAnsi" w:cstheme="majorHAnsi"/>
              </w:rPr>
              <w:t>5</w:t>
            </w:r>
          </w:p>
        </w:tc>
        <w:tc>
          <w:tcPr>
            <w:tcW w:w="2012" w:type="dxa"/>
            <w:tcBorders>
              <w:top w:val="single" w:sz="4" w:space="0" w:color="auto"/>
            </w:tcBorders>
          </w:tcPr>
          <w:p w14:paraId="585FE531" w14:textId="54EFB5DB" w:rsidR="0057165E" w:rsidRPr="0072753B" w:rsidRDefault="0057165E" w:rsidP="0072753B">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Ongoing</w:t>
            </w:r>
          </w:p>
        </w:tc>
      </w:tr>
      <w:tr w:rsidR="0012022C" w:rsidRPr="0072753B" w14:paraId="3851CA2F" w14:textId="77777777" w:rsidTr="00CA6E7B">
        <w:tc>
          <w:tcPr>
            <w:cnfStyle w:val="001000000000" w:firstRow="0" w:lastRow="0" w:firstColumn="1" w:lastColumn="0" w:oddVBand="0" w:evenVBand="0" w:oddHBand="0" w:evenHBand="0" w:firstRowFirstColumn="0" w:firstRowLastColumn="0" w:lastRowFirstColumn="0" w:lastRowLastColumn="0"/>
            <w:tcW w:w="684" w:type="dxa"/>
            <w:tcMar>
              <w:top w:w="85" w:type="dxa"/>
              <w:bottom w:w="85" w:type="dxa"/>
            </w:tcMar>
          </w:tcPr>
          <w:p w14:paraId="6612ED9D" w14:textId="5071F9AE" w:rsidR="00861DE7" w:rsidRPr="0072753B" w:rsidRDefault="00861DE7" w:rsidP="0072753B">
            <w:pPr>
              <w:pStyle w:val="BodyText"/>
              <w:rPr>
                <w:rFonts w:asciiTheme="majorHAnsi" w:hAnsiTheme="majorHAnsi" w:cstheme="majorHAnsi"/>
              </w:rPr>
            </w:pPr>
            <w:r w:rsidRPr="0072753B">
              <w:rPr>
                <w:rFonts w:asciiTheme="majorHAnsi" w:hAnsiTheme="majorHAnsi" w:cstheme="majorHAnsi"/>
              </w:rPr>
              <w:t>2</w:t>
            </w:r>
          </w:p>
        </w:tc>
        <w:tc>
          <w:tcPr>
            <w:tcW w:w="3291" w:type="dxa"/>
            <w:tcMar>
              <w:top w:w="85" w:type="dxa"/>
              <w:bottom w:w="85" w:type="dxa"/>
            </w:tcMar>
          </w:tcPr>
          <w:p w14:paraId="7EE76FDB" w14:textId="56164F4E" w:rsidR="00861DE7" w:rsidRPr="0072753B" w:rsidRDefault="00F22BF6"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Sensiti</w:t>
            </w:r>
            <w:r w:rsidR="0072753B" w:rsidRPr="0072753B">
              <w:rPr>
                <w:rFonts w:asciiTheme="majorHAnsi" w:hAnsiTheme="majorHAnsi" w:cstheme="majorHAnsi"/>
              </w:rPr>
              <w:t>s</w:t>
            </w:r>
            <w:r w:rsidRPr="0072753B">
              <w:rPr>
                <w:rFonts w:asciiTheme="majorHAnsi" w:hAnsiTheme="majorHAnsi" w:cstheme="majorHAnsi"/>
              </w:rPr>
              <w:t>ation and Streamlining of SOGIESC Inclusion in T</w:t>
            </w:r>
            <w:r w:rsidR="000A3563" w:rsidRPr="0072753B">
              <w:rPr>
                <w:rFonts w:asciiTheme="majorHAnsi" w:hAnsiTheme="majorHAnsi" w:cstheme="majorHAnsi"/>
              </w:rPr>
              <w:t>onga</w:t>
            </w:r>
          </w:p>
          <w:p w14:paraId="11AC9516" w14:textId="77777777" w:rsidR="00A05765" w:rsidRPr="0072753B" w:rsidRDefault="00A05765"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F32930C" w14:textId="3B302001" w:rsidR="00CB0E55" w:rsidRPr="0072753B" w:rsidRDefault="00CB0E55"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(Tonga Leitis Association)</w:t>
            </w:r>
          </w:p>
        </w:tc>
        <w:tc>
          <w:tcPr>
            <w:tcW w:w="3414" w:type="dxa"/>
            <w:tcMar>
              <w:top w:w="85" w:type="dxa"/>
              <w:bottom w:w="85" w:type="dxa"/>
            </w:tcMar>
          </w:tcPr>
          <w:p w14:paraId="52402C98" w14:textId="77848F47" w:rsidR="00861DE7" w:rsidRPr="0072753B" w:rsidRDefault="004E7C1E"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The Project aims to create a holistic approach that covers education policy, legal support, healthcare, and community dialogue, ensuring a comprehensive and culturally sensitive implementation of SOGIESC inclusion in Tonga.</w:t>
            </w:r>
          </w:p>
        </w:tc>
        <w:tc>
          <w:tcPr>
            <w:tcW w:w="2378" w:type="dxa"/>
            <w:tcMar>
              <w:top w:w="85" w:type="dxa"/>
              <w:bottom w:w="85" w:type="dxa"/>
            </w:tcMar>
          </w:tcPr>
          <w:p w14:paraId="02FB992A" w14:textId="15FF08B1" w:rsidR="00861DE7" w:rsidRPr="0072753B" w:rsidRDefault="000A3563"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Tonga</w:t>
            </w:r>
          </w:p>
        </w:tc>
        <w:tc>
          <w:tcPr>
            <w:tcW w:w="2516" w:type="dxa"/>
          </w:tcPr>
          <w:p w14:paraId="658719F8" w14:textId="2E1100E0" w:rsidR="00861DE7" w:rsidRPr="0072753B" w:rsidRDefault="00CB0E55"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$73</w:t>
            </w:r>
            <w:r w:rsidR="00DE47EE" w:rsidRPr="0072753B">
              <w:rPr>
                <w:rFonts w:asciiTheme="majorHAnsi" w:hAnsiTheme="majorHAnsi" w:cstheme="majorHAnsi"/>
                <w:color w:val="000000"/>
                <w:sz w:val="20"/>
                <w:szCs w:val="20"/>
              </w:rPr>
              <w:t>,</w:t>
            </w:r>
            <w:r w:rsidRPr="0072753B">
              <w:rPr>
                <w:rFonts w:asciiTheme="majorHAnsi" w:hAnsiTheme="majorHAnsi" w:cstheme="majorHAnsi"/>
                <w:color w:val="000000"/>
                <w:sz w:val="20"/>
                <w:szCs w:val="20"/>
              </w:rPr>
              <w:t>378.58</w:t>
            </w:r>
          </w:p>
          <w:p w14:paraId="7DAA5B39" w14:textId="77777777" w:rsidR="00E46CFF" w:rsidRPr="0072753B" w:rsidRDefault="00E46CFF"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4"/>
                <w:szCs w:val="20"/>
              </w:rPr>
            </w:pPr>
          </w:p>
          <w:p w14:paraId="092FA0DA" w14:textId="4D5021FE" w:rsidR="004E7C1E" w:rsidRPr="0072753B" w:rsidRDefault="004E7C1E" w:rsidP="0072753B">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2025</w:t>
            </w:r>
            <w:r w:rsidR="00A2616E" w:rsidRPr="0072753B">
              <w:rPr>
                <w:rFonts w:asciiTheme="majorHAnsi" w:hAnsiTheme="majorHAnsi" w:cstheme="majorHAnsi"/>
              </w:rPr>
              <w:t xml:space="preserve"> – </w:t>
            </w:r>
            <w:r w:rsidRPr="0072753B">
              <w:rPr>
                <w:rFonts w:asciiTheme="majorHAnsi" w:hAnsiTheme="majorHAnsi" w:cstheme="majorHAnsi"/>
              </w:rPr>
              <w:t>2026</w:t>
            </w:r>
          </w:p>
        </w:tc>
        <w:tc>
          <w:tcPr>
            <w:tcW w:w="2012" w:type="dxa"/>
          </w:tcPr>
          <w:p w14:paraId="033A6E58" w14:textId="0B701A5A" w:rsidR="00861DE7" w:rsidRPr="0072753B" w:rsidRDefault="004E7C1E"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753B">
              <w:rPr>
                <w:rFonts w:asciiTheme="majorHAnsi" w:hAnsiTheme="majorHAnsi" w:cstheme="majorHAnsi"/>
              </w:rPr>
              <w:t>Ongoing</w:t>
            </w:r>
          </w:p>
        </w:tc>
      </w:tr>
    </w:tbl>
    <w:p w14:paraId="78274DAF" w14:textId="62CDFEDC" w:rsidR="00E34E37" w:rsidRPr="0072753B" w:rsidRDefault="00E34E37" w:rsidP="0072753B">
      <w:pPr>
        <w:pStyle w:val="Heading2"/>
        <w:ind w:hanging="993"/>
        <w:rPr>
          <w:rFonts w:asciiTheme="majorHAnsi" w:hAnsiTheme="majorHAnsi"/>
        </w:rPr>
      </w:pPr>
      <w:bookmarkStart w:id="25" w:name="_Toc207912569"/>
      <w:bookmarkStart w:id="26" w:name="_Toc208777785"/>
      <w:bookmarkEnd w:id="23"/>
      <w:bookmarkEnd w:id="24"/>
      <w:r w:rsidRPr="0072753B">
        <w:rPr>
          <w:rFonts w:asciiTheme="majorHAnsi" w:hAnsiTheme="majorHAnsi"/>
        </w:rPr>
        <w:t>Pacific Women’s Funds</w:t>
      </w:r>
      <w:bookmarkEnd w:id="19"/>
      <w:bookmarkEnd w:id="20"/>
      <w:bookmarkEnd w:id="25"/>
      <w:bookmarkEnd w:id="26"/>
    </w:p>
    <w:bookmarkEnd w:id="21"/>
    <w:p w14:paraId="3CF4F896" w14:textId="6AD91D53" w:rsidR="001234D2" w:rsidRPr="0072753B" w:rsidRDefault="00E34E37" w:rsidP="0072753B">
      <w:pPr>
        <w:pStyle w:val="BodyText"/>
        <w:rPr>
          <w:rFonts w:asciiTheme="majorHAnsi" w:eastAsiaTheme="majorEastAsia" w:hAnsiTheme="majorHAnsi" w:cstheme="majorHAnsi"/>
          <w:bCs/>
          <w:sz w:val="24"/>
          <w:szCs w:val="24"/>
        </w:rPr>
      </w:pPr>
      <w:r w:rsidRPr="0072753B">
        <w:rPr>
          <w:rFonts w:asciiTheme="majorHAnsi" w:hAnsiTheme="majorHAnsi" w:cstheme="majorHAnsi"/>
        </w:rPr>
        <w:t xml:space="preserve">The Pacific Women’s Funds is made up of </w:t>
      </w:r>
      <w:r w:rsidR="00570A67" w:rsidRPr="0072753B">
        <w:rPr>
          <w:rFonts w:asciiTheme="majorHAnsi" w:hAnsiTheme="majorHAnsi" w:cstheme="majorHAnsi"/>
        </w:rPr>
        <w:t>3</w:t>
      </w:r>
      <w:r w:rsidRPr="0072753B">
        <w:rPr>
          <w:rFonts w:asciiTheme="majorHAnsi" w:hAnsiTheme="majorHAnsi" w:cstheme="majorHAnsi"/>
        </w:rPr>
        <w:t xml:space="preserve"> feminist organisations: Urgent Action Fund Asia and Pacific</w:t>
      </w:r>
      <w:r w:rsidR="00F737D9" w:rsidRPr="0072753B">
        <w:rPr>
          <w:rFonts w:asciiTheme="majorHAnsi" w:hAnsiTheme="majorHAnsi" w:cstheme="majorHAnsi"/>
        </w:rPr>
        <w:t xml:space="preserve">, </w:t>
      </w:r>
      <w:r w:rsidRPr="0072753B">
        <w:rPr>
          <w:rFonts w:asciiTheme="majorHAnsi" w:hAnsiTheme="majorHAnsi" w:cstheme="majorHAnsi"/>
        </w:rPr>
        <w:t>Pacific Feminist Fund</w:t>
      </w:r>
      <w:r w:rsidR="008B3BA6" w:rsidRPr="0072753B">
        <w:rPr>
          <w:rFonts w:asciiTheme="majorHAnsi" w:hAnsiTheme="majorHAnsi" w:cstheme="majorHAnsi"/>
        </w:rPr>
        <w:t xml:space="preserve">, </w:t>
      </w:r>
      <w:r w:rsidR="003B0789" w:rsidRPr="0072753B">
        <w:rPr>
          <w:rFonts w:asciiTheme="majorHAnsi" w:hAnsiTheme="majorHAnsi" w:cstheme="majorHAnsi"/>
        </w:rPr>
        <w:t>and Women’s Fund Fiji</w:t>
      </w:r>
      <w:r w:rsidR="00B877FE" w:rsidRPr="0072753B">
        <w:rPr>
          <w:rStyle w:val="FootnoteReference"/>
          <w:rFonts w:asciiTheme="majorHAnsi" w:hAnsiTheme="majorHAnsi" w:cstheme="majorHAnsi"/>
        </w:rPr>
        <w:footnoteReference w:id="6"/>
      </w:r>
      <w:r w:rsidR="003B0789" w:rsidRPr="0072753B">
        <w:rPr>
          <w:rFonts w:asciiTheme="majorHAnsi" w:hAnsiTheme="majorHAnsi" w:cstheme="majorHAnsi"/>
        </w:rPr>
        <w:t xml:space="preserve"> </w:t>
      </w:r>
      <w:r w:rsidR="008B3BA6" w:rsidRPr="0072753B">
        <w:rPr>
          <w:rFonts w:asciiTheme="majorHAnsi" w:hAnsiTheme="majorHAnsi" w:cstheme="majorHAnsi"/>
        </w:rPr>
        <w:t>also known as the Amplify-Invest-Reach (AIR) Partnership</w:t>
      </w:r>
      <w:r w:rsidR="00F65302" w:rsidRPr="0072753B">
        <w:rPr>
          <w:rFonts w:asciiTheme="majorHAnsi" w:hAnsiTheme="majorHAnsi" w:cstheme="majorHAnsi"/>
        </w:rPr>
        <w:t>.</w:t>
      </w:r>
      <w:bookmarkStart w:id="27" w:name="_Toc207912570"/>
    </w:p>
    <w:p w14:paraId="61E50458" w14:textId="7D9467B3" w:rsidR="00292336" w:rsidRPr="0072753B" w:rsidRDefault="00292336" w:rsidP="0072753B">
      <w:pPr>
        <w:pStyle w:val="Heading3"/>
        <w:rPr>
          <w:rFonts w:asciiTheme="majorHAnsi" w:hAnsiTheme="majorHAnsi"/>
          <w:sz w:val="24"/>
          <w:szCs w:val="24"/>
          <w:lang w:val="en-AU"/>
        </w:rPr>
      </w:pPr>
      <w:bookmarkStart w:id="28" w:name="_Toc208777786"/>
      <w:bookmarkEnd w:id="27"/>
      <w:r w:rsidRPr="0072753B">
        <w:rPr>
          <w:rFonts w:asciiTheme="majorHAnsi" w:hAnsiTheme="majorHAnsi"/>
          <w:sz w:val="24"/>
          <w:szCs w:val="24"/>
          <w:lang w:val="en-AU"/>
        </w:rPr>
        <w:t>The Urgent Action Fund</w:t>
      </w:r>
      <w:bookmarkEnd w:id="28"/>
      <w:r w:rsidRPr="0072753B">
        <w:rPr>
          <w:rFonts w:asciiTheme="majorHAnsi" w:hAnsiTheme="majorHAnsi"/>
          <w:sz w:val="24"/>
          <w:szCs w:val="24"/>
          <w:lang w:val="en-AU"/>
        </w:rPr>
        <w:t xml:space="preserve"> </w:t>
      </w:r>
    </w:p>
    <w:p w14:paraId="5504C0B9" w14:textId="5A065EFD" w:rsidR="00D17D41" w:rsidRPr="0072753B" w:rsidRDefault="00493A22" w:rsidP="0072753B">
      <w:pPr>
        <w:spacing w:after="360" w:line="276" w:lineRule="auto"/>
        <w:jc w:val="left"/>
        <w:rPr>
          <w:rFonts w:asciiTheme="majorHAnsi" w:hAnsiTheme="majorHAnsi" w:cstheme="majorHAnsi"/>
          <w:sz w:val="20"/>
          <w:szCs w:val="20"/>
        </w:rPr>
      </w:pPr>
      <w:r w:rsidRPr="0072753B">
        <w:rPr>
          <w:rFonts w:asciiTheme="majorHAnsi" w:hAnsiTheme="majorHAnsi" w:cstheme="majorHAnsi"/>
          <w:sz w:val="20"/>
          <w:szCs w:val="20"/>
        </w:rPr>
        <w:t xml:space="preserve">The Urgent Action Fund funds </w:t>
      </w:r>
      <w:r w:rsidR="00224A14" w:rsidRPr="0072753B">
        <w:rPr>
          <w:rFonts w:asciiTheme="majorHAnsi" w:hAnsiTheme="majorHAnsi" w:cstheme="majorHAnsi"/>
          <w:sz w:val="20"/>
          <w:szCs w:val="20"/>
        </w:rPr>
        <w:t>13</w:t>
      </w:r>
      <w:r w:rsidRPr="0072753B">
        <w:rPr>
          <w:rFonts w:asciiTheme="majorHAnsi" w:hAnsiTheme="majorHAnsi" w:cstheme="majorHAnsi"/>
          <w:sz w:val="20"/>
          <w:szCs w:val="20"/>
        </w:rPr>
        <w:t xml:space="preserve"> projects</w:t>
      </w:r>
      <w:r w:rsidR="00D744B9" w:rsidRPr="0072753B">
        <w:rPr>
          <w:rStyle w:val="FootnoteReference"/>
          <w:rFonts w:asciiTheme="majorHAnsi" w:hAnsiTheme="majorHAnsi" w:cstheme="majorHAnsi"/>
          <w:sz w:val="20"/>
          <w:szCs w:val="20"/>
        </w:rPr>
        <w:footnoteReference w:id="7"/>
      </w:r>
      <w:r w:rsidRPr="0072753B">
        <w:rPr>
          <w:rFonts w:asciiTheme="majorHAnsi" w:hAnsiTheme="majorHAnsi" w:cstheme="majorHAnsi"/>
          <w:sz w:val="20"/>
          <w:szCs w:val="20"/>
        </w:rPr>
        <w:t xml:space="preserve">. Of these, </w:t>
      </w:r>
      <w:r w:rsidR="003B0789" w:rsidRPr="0072753B">
        <w:rPr>
          <w:rFonts w:asciiTheme="majorHAnsi" w:hAnsiTheme="majorHAnsi" w:cstheme="majorHAnsi"/>
          <w:sz w:val="20"/>
          <w:szCs w:val="20"/>
        </w:rPr>
        <w:t>4</w:t>
      </w:r>
      <w:r w:rsidRPr="0072753B">
        <w:rPr>
          <w:rFonts w:asciiTheme="majorHAnsi" w:hAnsiTheme="majorHAnsi" w:cstheme="majorHAnsi"/>
          <w:sz w:val="20"/>
          <w:szCs w:val="20"/>
        </w:rPr>
        <w:t xml:space="preserve"> are ongoing and </w:t>
      </w:r>
      <w:r w:rsidR="003B0789" w:rsidRPr="0072753B">
        <w:rPr>
          <w:rFonts w:asciiTheme="majorHAnsi" w:hAnsiTheme="majorHAnsi" w:cstheme="majorHAnsi"/>
          <w:sz w:val="20"/>
          <w:szCs w:val="20"/>
        </w:rPr>
        <w:t xml:space="preserve">9 </w:t>
      </w:r>
      <w:r w:rsidRPr="0072753B">
        <w:rPr>
          <w:rFonts w:asciiTheme="majorHAnsi" w:hAnsiTheme="majorHAnsi" w:cstheme="majorHAnsi"/>
          <w:sz w:val="20"/>
          <w:szCs w:val="20"/>
        </w:rPr>
        <w:t xml:space="preserve">are completed. </w:t>
      </w:r>
    </w:p>
    <w:p w14:paraId="03C6D595" w14:textId="4E4C5F3B" w:rsidR="000A4E73" w:rsidRPr="0072753B" w:rsidRDefault="0034647C" w:rsidP="0072753B">
      <w:pPr>
        <w:spacing w:before="240" w:after="0" w:line="276" w:lineRule="auto"/>
        <w:jc w:val="left"/>
        <w:rPr>
          <w:rFonts w:asciiTheme="majorHAnsi" w:hAnsiTheme="majorHAnsi" w:cstheme="majorHAnsi"/>
          <w:b/>
          <w:bCs/>
          <w:sz w:val="20"/>
          <w:szCs w:val="20"/>
        </w:rPr>
      </w:pPr>
      <w:r w:rsidRPr="0072753B">
        <w:rPr>
          <w:rFonts w:asciiTheme="majorHAnsi" w:hAnsiTheme="majorHAnsi" w:cstheme="majorHAnsi"/>
          <w:b/>
          <w:bCs/>
          <w:sz w:val="20"/>
          <w:szCs w:val="20"/>
        </w:rPr>
        <w:t>Table 5: Urgent Action Fund</w:t>
      </w:r>
    </w:p>
    <w:p w14:paraId="14E76F7E" w14:textId="77777777" w:rsidR="00087287" w:rsidRPr="0072753B" w:rsidRDefault="00087287" w:rsidP="0072753B">
      <w:pPr>
        <w:spacing w:after="0"/>
        <w:jc w:val="left"/>
        <w:rPr>
          <w:rFonts w:asciiTheme="majorHAnsi" w:hAnsiTheme="majorHAnsi" w:cstheme="majorHAnsi"/>
          <w:b/>
          <w:bCs/>
          <w:sz w:val="20"/>
          <w:szCs w:val="20"/>
        </w:rPr>
      </w:pPr>
    </w:p>
    <w:tbl>
      <w:tblPr>
        <w:tblStyle w:val="PlainTable2"/>
        <w:tblW w:w="14295"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1498"/>
        <w:gridCol w:w="6164"/>
        <w:gridCol w:w="2228"/>
        <w:gridCol w:w="2577"/>
        <w:gridCol w:w="1176"/>
      </w:tblGrid>
      <w:tr w:rsidR="002F6C9C" w:rsidRPr="0072753B" w14:paraId="345D966F" w14:textId="77777777" w:rsidTr="00CA6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Borders>
              <w:bottom w:val="single" w:sz="4" w:space="0" w:color="auto"/>
            </w:tcBorders>
            <w:shd w:val="clear" w:color="auto" w:fill="006699"/>
            <w:tcMar>
              <w:top w:w="85" w:type="dxa"/>
              <w:bottom w:w="85" w:type="dxa"/>
            </w:tcMar>
            <w:vAlign w:val="center"/>
          </w:tcPr>
          <w:p w14:paraId="4F697D6E" w14:textId="77777777" w:rsidR="0085568C" w:rsidRPr="0072753B" w:rsidRDefault="0085568C" w:rsidP="0072753B">
            <w:pPr>
              <w:pStyle w:val="BodyText"/>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No.</w:t>
            </w:r>
          </w:p>
        </w:tc>
        <w:tc>
          <w:tcPr>
            <w:tcW w:w="1498" w:type="dxa"/>
            <w:tcBorders>
              <w:bottom w:val="single" w:sz="4" w:space="0" w:color="auto"/>
            </w:tcBorders>
            <w:shd w:val="clear" w:color="auto" w:fill="006699"/>
            <w:tcMar>
              <w:top w:w="85" w:type="dxa"/>
              <w:bottom w:w="85" w:type="dxa"/>
            </w:tcMar>
            <w:vAlign w:val="center"/>
          </w:tcPr>
          <w:p w14:paraId="1CFDB97C" w14:textId="77777777" w:rsidR="0085568C" w:rsidRPr="0072753B" w:rsidRDefault="0085568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Project name and partner</w:t>
            </w:r>
          </w:p>
        </w:tc>
        <w:tc>
          <w:tcPr>
            <w:tcW w:w="6164" w:type="dxa"/>
            <w:tcBorders>
              <w:bottom w:val="single" w:sz="4" w:space="0" w:color="auto"/>
            </w:tcBorders>
            <w:shd w:val="clear" w:color="auto" w:fill="006699"/>
            <w:tcMar>
              <w:top w:w="85" w:type="dxa"/>
              <w:bottom w:w="85" w:type="dxa"/>
            </w:tcMar>
            <w:vAlign w:val="center"/>
          </w:tcPr>
          <w:p w14:paraId="4CC17954" w14:textId="77777777" w:rsidR="0085568C" w:rsidRPr="0072753B" w:rsidRDefault="0085568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Project description</w:t>
            </w:r>
          </w:p>
        </w:tc>
        <w:tc>
          <w:tcPr>
            <w:tcW w:w="2228" w:type="dxa"/>
            <w:tcBorders>
              <w:bottom w:val="single" w:sz="4" w:space="0" w:color="auto"/>
            </w:tcBorders>
            <w:shd w:val="clear" w:color="auto" w:fill="006699"/>
            <w:tcMar>
              <w:top w:w="85" w:type="dxa"/>
              <w:bottom w:w="85" w:type="dxa"/>
            </w:tcMar>
            <w:vAlign w:val="center"/>
          </w:tcPr>
          <w:p w14:paraId="35585698" w14:textId="77777777" w:rsidR="0085568C" w:rsidRPr="0072753B" w:rsidRDefault="0085568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Countries</w:t>
            </w:r>
          </w:p>
        </w:tc>
        <w:tc>
          <w:tcPr>
            <w:tcW w:w="2577" w:type="dxa"/>
            <w:tcBorders>
              <w:bottom w:val="single" w:sz="4" w:space="0" w:color="auto"/>
            </w:tcBorders>
            <w:shd w:val="clear" w:color="auto" w:fill="006699"/>
          </w:tcPr>
          <w:p w14:paraId="18FEDF36" w14:textId="77777777" w:rsidR="0085568C" w:rsidRPr="0072753B" w:rsidRDefault="0085568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Value (AUD) / timeframe</w:t>
            </w:r>
          </w:p>
        </w:tc>
        <w:tc>
          <w:tcPr>
            <w:tcW w:w="1176" w:type="dxa"/>
            <w:tcBorders>
              <w:bottom w:val="single" w:sz="4" w:space="0" w:color="auto"/>
            </w:tcBorders>
            <w:shd w:val="clear" w:color="auto" w:fill="006699"/>
          </w:tcPr>
          <w:p w14:paraId="04C5D3DE" w14:textId="4C8DFA1B" w:rsidR="0085568C" w:rsidRPr="0072753B" w:rsidRDefault="0085568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Project status</w:t>
            </w:r>
          </w:p>
        </w:tc>
      </w:tr>
      <w:tr w:rsidR="00A0765E" w:rsidRPr="0072753B" w14:paraId="095F025D" w14:textId="77777777" w:rsidTr="00CA6E7B">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652" w:type="dxa"/>
            <w:tcBorders>
              <w:top w:val="single" w:sz="4" w:space="0" w:color="auto"/>
              <w:bottom w:val="single" w:sz="4" w:space="0" w:color="auto"/>
            </w:tcBorders>
            <w:tcMar>
              <w:top w:w="85" w:type="dxa"/>
              <w:bottom w:w="85" w:type="dxa"/>
            </w:tcMar>
          </w:tcPr>
          <w:p w14:paraId="0560EF4D" w14:textId="77777777" w:rsidR="0085568C" w:rsidRPr="0072753B" w:rsidRDefault="0085568C" w:rsidP="0072753B">
            <w:pPr>
              <w:pStyle w:val="BodyText"/>
              <w:rPr>
                <w:rFonts w:asciiTheme="majorHAnsi" w:hAnsiTheme="majorHAnsi" w:cstheme="majorHAnsi"/>
                <w:szCs w:val="20"/>
              </w:rPr>
            </w:pPr>
            <w:r w:rsidRPr="0072753B">
              <w:rPr>
                <w:rFonts w:asciiTheme="majorHAnsi" w:hAnsiTheme="majorHAnsi" w:cstheme="majorHAnsi"/>
                <w:szCs w:val="20"/>
              </w:rPr>
              <w:lastRenderedPageBreak/>
              <w:t>1</w:t>
            </w:r>
          </w:p>
        </w:tc>
        <w:tc>
          <w:tcPr>
            <w:tcW w:w="1498" w:type="dxa"/>
            <w:tcBorders>
              <w:top w:val="single" w:sz="4" w:space="0" w:color="auto"/>
              <w:bottom w:val="single" w:sz="4" w:space="0" w:color="auto"/>
            </w:tcBorders>
            <w:tcMar>
              <w:top w:w="85" w:type="dxa"/>
              <w:bottom w:w="85" w:type="dxa"/>
            </w:tcMar>
          </w:tcPr>
          <w:p w14:paraId="291DFFB5" w14:textId="7DAB8A70" w:rsidR="0085568C" w:rsidRPr="0072753B" w:rsidRDefault="00BE5374"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Amplify-Invest-Reach (AIR) Partnership - Urgent Action Fund Asia and Pacific</w:t>
            </w:r>
          </w:p>
        </w:tc>
        <w:tc>
          <w:tcPr>
            <w:tcW w:w="6164" w:type="dxa"/>
            <w:tcBorders>
              <w:top w:val="single" w:sz="4" w:space="0" w:color="auto"/>
              <w:bottom w:val="single" w:sz="4" w:space="0" w:color="auto"/>
            </w:tcBorders>
            <w:tcMar>
              <w:top w:w="85" w:type="dxa"/>
              <w:bottom w:w="85" w:type="dxa"/>
            </w:tcMar>
          </w:tcPr>
          <w:p w14:paraId="7CCAC7CF" w14:textId="5099FDCB" w:rsidR="00244923" w:rsidRPr="0072753B" w:rsidRDefault="00244923"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eastAsia="Arial" w:cstheme="majorHAnsi"/>
                <w:szCs w:val="20"/>
              </w:rPr>
              <w:t>The overarching goal of the AIR Partnership is the achievement of gender equality and the creation of an environment in which the human rights of women, girls and all persons with diverse sexual orientation, gender identity, gender expression and sex characteristics (diverse SOGIESC) are fulfilled.</w:t>
            </w:r>
          </w:p>
          <w:p w14:paraId="6FDCB8DE" w14:textId="77777777" w:rsidR="00244923" w:rsidRPr="0072753B" w:rsidRDefault="00244923"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rPr>
              <w:t>UAF A&amp;P is a rapid response and feminist fund that mobilises and distributes resources to women, trans and non-binary human rights defenders, activists and their movements to continue their work. Th</w:t>
            </w:r>
            <w:r w:rsidRPr="0072753B">
              <w:rPr>
                <w:rFonts w:eastAsia="Arial" w:cstheme="majorHAnsi"/>
                <w:szCs w:val="20"/>
              </w:rPr>
              <w:t>ey engage with defenders and their networks to visualise risks and threats beyond immediate physical threats and support them to create sustainable structures of safety and care.</w:t>
            </w:r>
          </w:p>
          <w:p w14:paraId="7EE78104" w14:textId="70999D5F" w:rsidR="005E2C37" w:rsidRPr="0072753B" w:rsidRDefault="005E2C37"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tc>
        <w:tc>
          <w:tcPr>
            <w:tcW w:w="2228" w:type="dxa"/>
            <w:tcBorders>
              <w:top w:val="single" w:sz="4" w:space="0" w:color="auto"/>
              <w:bottom w:val="single" w:sz="4" w:space="0" w:color="auto"/>
            </w:tcBorders>
            <w:tcMar>
              <w:top w:w="85" w:type="dxa"/>
              <w:bottom w:w="85" w:type="dxa"/>
            </w:tcMar>
          </w:tcPr>
          <w:p w14:paraId="3FBCF6CB" w14:textId="6E5C65CD" w:rsidR="0085568C" w:rsidRPr="0072753B" w:rsidRDefault="00014E9A"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All pacific island countries</w:t>
            </w:r>
          </w:p>
        </w:tc>
        <w:tc>
          <w:tcPr>
            <w:tcW w:w="2577" w:type="dxa"/>
            <w:tcBorders>
              <w:top w:val="single" w:sz="4" w:space="0" w:color="auto"/>
              <w:bottom w:val="single" w:sz="4" w:space="0" w:color="auto"/>
            </w:tcBorders>
          </w:tcPr>
          <w:p w14:paraId="03FE3816" w14:textId="77777777" w:rsidR="00EB455D" w:rsidRPr="0072753B" w:rsidRDefault="00EB455D"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$4,250,330</w:t>
            </w:r>
          </w:p>
          <w:p w14:paraId="442254F4" w14:textId="77777777" w:rsidR="004B3B4C" w:rsidRPr="0072753B" w:rsidRDefault="004B3B4C"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4FF3461A" w14:textId="57A61865" w:rsidR="004B3B4C" w:rsidRPr="0072753B" w:rsidRDefault="004B3B4C"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0"/>
              </w:rPr>
            </w:pPr>
            <w:r w:rsidRPr="0072753B">
              <w:rPr>
                <w:rFonts w:asciiTheme="majorHAnsi" w:hAnsiTheme="majorHAnsi" w:cstheme="majorHAnsi"/>
                <w:color w:val="000000"/>
                <w:sz w:val="20"/>
                <w:szCs w:val="20"/>
              </w:rPr>
              <w:t>2021</w:t>
            </w:r>
            <w:r w:rsidR="00F65302" w:rsidRPr="0072753B">
              <w:rPr>
                <w:rFonts w:asciiTheme="majorHAnsi" w:hAnsiTheme="majorHAnsi" w:cstheme="majorHAnsi"/>
                <w:color w:val="000000"/>
                <w:sz w:val="20"/>
                <w:szCs w:val="20"/>
              </w:rPr>
              <w:t xml:space="preserve"> - 2026</w:t>
            </w:r>
          </w:p>
        </w:tc>
        <w:tc>
          <w:tcPr>
            <w:tcW w:w="1176" w:type="dxa"/>
            <w:tcBorders>
              <w:top w:val="single" w:sz="4" w:space="0" w:color="auto"/>
              <w:bottom w:val="single" w:sz="4" w:space="0" w:color="auto"/>
            </w:tcBorders>
          </w:tcPr>
          <w:p w14:paraId="42D53BAC" w14:textId="51311645" w:rsidR="0085568C" w:rsidRPr="0072753B" w:rsidRDefault="00F6530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bl>
    <w:p w14:paraId="0B839CF3" w14:textId="44032C36" w:rsidR="00C34B01" w:rsidRPr="0072753B" w:rsidRDefault="00C34B01" w:rsidP="0072753B">
      <w:pPr>
        <w:spacing w:after="0" w:line="276" w:lineRule="auto"/>
        <w:jc w:val="left"/>
        <w:rPr>
          <w:rFonts w:asciiTheme="majorHAnsi" w:hAnsiTheme="majorHAnsi" w:cstheme="majorHAnsi"/>
          <w:b/>
          <w:bCs/>
          <w:sz w:val="20"/>
          <w:szCs w:val="20"/>
        </w:rPr>
      </w:pPr>
      <w:r w:rsidRPr="0072753B">
        <w:rPr>
          <w:rFonts w:asciiTheme="majorHAnsi" w:hAnsiTheme="majorHAnsi" w:cstheme="majorHAnsi"/>
          <w:b/>
          <w:bCs/>
          <w:sz w:val="20"/>
          <w:szCs w:val="20"/>
        </w:rPr>
        <w:t>Table 5.1: Urgent Action Fund’s downstream projects</w:t>
      </w:r>
    </w:p>
    <w:p w14:paraId="19F4636C" w14:textId="77777777" w:rsidR="00087287" w:rsidRPr="0072753B" w:rsidRDefault="00087287" w:rsidP="0072753B">
      <w:pPr>
        <w:spacing w:after="0" w:line="276" w:lineRule="auto"/>
        <w:jc w:val="left"/>
        <w:rPr>
          <w:rFonts w:asciiTheme="majorHAnsi" w:hAnsiTheme="majorHAnsi" w:cstheme="majorHAnsi"/>
          <w:b/>
          <w:bCs/>
          <w:sz w:val="20"/>
          <w:szCs w:val="20"/>
        </w:rPr>
      </w:pPr>
    </w:p>
    <w:tbl>
      <w:tblPr>
        <w:tblStyle w:val="PlainTable2"/>
        <w:tblW w:w="14295"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4961"/>
        <w:gridCol w:w="1843"/>
        <w:gridCol w:w="2268"/>
        <w:gridCol w:w="1684"/>
      </w:tblGrid>
      <w:tr w:rsidR="002F6C9C" w:rsidRPr="0072753B" w14:paraId="35F085F4" w14:textId="77777777" w:rsidTr="009C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006699"/>
            <w:tcMar>
              <w:top w:w="85" w:type="dxa"/>
              <w:bottom w:w="85" w:type="dxa"/>
            </w:tcMar>
            <w:vAlign w:val="center"/>
          </w:tcPr>
          <w:p w14:paraId="2C4E744F" w14:textId="77777777" w:rsidR="00C34B01" w:rsidRPr="0072753B" w:rsidRDefault="00C34B01" w:rsidP="0072753B">
            <w:pPr>
              <w:pStyle w:val="BodyText"/>
              <w:rPr>
                <w:b w:val="0"/>
                <w:bCs w:val="0"/>
                <w:color w:val="FFFFFF" w:themeColor="background1"/>
              </w:rPr>
            </w:pPr>
            <w:r w:rsidRPr="0072753B">
              <w:rPr>
                <w:color w:val="FFFFFF" w:themeColor="background1"/>
              </w:rPr>
              <w:t>No.</w:t>
            </w:r>
          </w:p>
        </w:tc>
        <w:tc>
          <w:tcPr>
            <w:tcW w:w="0" w:type="dxa"/>
            <w:tcBorders>
              <w:bottom w:val="single" w:sz="4" w:space="0" w:color="auto"/>
            </w:tcBorders>
            <w:shd w:val="clear" w:color="auto" w:fill="006699"/>
            <w:tcMar>
              <w:top w:w="85" w:type="dxa"/>
              <w:bottom w:w="85" w:type="dxa"/>
            </w:tcMar>
            <w:vAlign w:val="center"/>
          </w:tcPr>
          <w:p w14:paraId="58D0BD29" w14:textId="77777777" w:rsidR="00C34B01" w:rsidRPr="0072753B" w:rsidRDefault="00C34B01" w:rsidP="0072753B">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72753B">
              <w:rPr>
                <w:color w:val="FFFFFF" w:themeColor="background1"/>
              </w:rPr>
              <w:t>Project name and partner</w:t>
            </w:r>
          </w:p>
        </w:tc>
        <w:tc>
          <w:tcPr>
            <w:tcW w:w="0" w:type="dxa"/>
            <w:tcBorders>
              <w:bottom w:val="single" w:sz="4" w:space="0" w:color="auto"/>
            </w:tcBorders>
            <w:shd w:val="clear" w:color="auto" w:fill="006699"/>
            <w:tcMar>
              <w:top w:w="85" w:type="dxa"/>
              <w:bottom w:w="85" w:type="dxa"/>
            </w:tcMar>
            <w:vAlign w:val="center"/>
          </w:tcPr>
          <w:p w14:paraId="5AF5AC27" w14:textId="77777777" w:rsidR="00C34B01" w:rsidRPr="0072753B" w:rsidRDefault="00C34B01" w:rsidP="0072753B">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72753B">
              <w:rPr>
                <w:color w:val="FFFFFF" w:themeColor="background1"/>
              </w:rPr>
              <w:t>Project description</w:t>
            </w:r>
          </w:p>
        </w:tc>
        <w:tc>
          <w:tcPr>
            <w:tcW w:w="0" w:type="dxa"/>
            <w:tcBorders>
              <w:bottom w:val="single" w:sz="4" w:space="0" w:color="auto"/>
            </w:tcBorders>
            <w:shd w:val="clear" w:color="auto" w:fill="006699"/>
            <w:tcMar>
              <w:top w:w="85" w:type="dxa"/>
              <w:bottom w:w="85" w:type="dxa"/>
            </w:tcMar>
            <w:vAlign w:val="center"/>
          </w:tcPr>
          <w:p w14:paraId="1DDA4157" w14:textId="77777777" w:rsidR="00C34B01" w:rsidRPr="0072753B" w:rsidRDefault="00C34B01" w:rsidP="0072753B">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2753B">
              <w:rPr>
                <w:color w:val="FFFFFF" w:themeColor="background1"/>
              </w:rPr>
              <w:t>Countries</w:t>
            </w:r>
          </w:p>
        </w:tc>
        <w:tc>
          <w:tcPr>
            <w:tcW w:w="0" w:type="dxa"/>
            <w:tcBorders>
              <w:bottom w:val="single" w:sz="4" w:space="0" w:color="auto"/>
            </w:tcBorders>
            <w:shd w:val="clear" w:color="auto" w:fill="006699"/>
          </w:tcPr>
          <w:p w14:paraId="59097308" w14:textId="77777777" w:rsidR="00C34B01" w:rsidRPr="0072753B" w:rsidRDefault="00C34B01" w:rsidP="0072753B">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2753B">
              <w:rPr>
                <w:color w:val="FFFFFF" w:themeColor="background1"/>
              </w:rPr>
              <w:t>Value (AUD) / timeframe</w:t>
            </w:r>
          </w:p>
        </w:tc>
        <w:tc>
          <w:tcPr>
            <w:tcW w:w="0" w:type="dxa"/>
            <w:tcBorders>
              <w:bottom w:val="single" w:sz="4" w:space="0" w:color="auto"/>
            </w:tcBorders>
            <w:shd w:val="clear" w:color="auto" w:fill="006699"/>
          </w:tcPr>
          <w:p w14:paraId="5A8EDE3C" w14:textId="77777777" w:rsidR="00C34B01" w:rsidRPr="0072753B" w:rsidRDefault="00C34B01" w:rsidP="0072753B">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2753B">
              <w:rPr>
                <w:color w:val="FFFFFF" w:themeColor="background1"/>
              </w:rPr>
              <w:t xml:space="preserve">Project status </w:t>
            </w:r>
          </w:p>
        </w:tc>
      </w:tr>
      <w:tr w:rsidR="005F53B2" w:rsidRPr="0072753B" w14:paraId="5BABC366" w14:textId="77777777" w:rsidTr="00CA6E7B">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674FB988" w14:textId="57478FAC" w:rsidR="00C34B01" w:rsidRPr="0072753B" w:rsidRDefault="00C34B01" w:rsidP="0072753B">
            <w:pPr>
              <w:pStyle w:val="BodyText"/>
              <w:rPr>
                <w:rFonts w:asciiTheme="majorHAnsi" w:hAnsiTheme="majorHAnsi" w:cstheme="majorHAnsi"/>
                <w:szCs w:val="20"/>
              </w:rPr>
            </w:pPr>
            <w:r w:rsidRPr="0072753B">
              <w:rPr>
                <w:rFonts w:asciiTheme="majorHAnsi" w:hAnsiTheme="majorHAnsi" w:cstheme="majorHAnsi"/>
                <w:szCs w:val="20"/>
              </w:rPr>
              <w:t>1</w:t>
            </w:r>
          </w:p>
        </w:tc>
        <w:tc>
          <w:tcPr>
            <w:tcW w:w="0" w:type="dxa"/>
            <w:tcBorders>
              <w:top w:val="single" w:sz="4" w:space="0" w:color="auto"/>
            </w:tcBorders>
            <w:tcMar>
              <w:top w:w="85" w:type="dxa"/>
              <w:bottom w:w="85" w:type="dxa"/>
            </w:tcMar>
          </w:tcPr>
          <w:p w14:paraId="352C579D" w14:textId="77777777" w:rsidR="00377294" w:rsidRPr="0072753B" w:rsidRDefault="00057B14"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788D72B7" w14:textId="7CC88F3F" w:rsidR="00C34B01" w:rsidRPr="0072753B" w:rsidRDefault="00057B14"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0" w:type="dxa"/>
            <w:tcBorders>
              <w:top w:val="single" w:sz="4" w:space="0" w:color="auto"/>
            </w:tcBorders>
            <w:tcMar>
              <w:top w:w="85" w:type="dxa"/>
              <w:bottom w:w="85" w:type="dxa"/>
            </w:tcMar>
          </w:tcPr>
          <w:p w14:paraId="19D4D7CF" w14:textId="21BE82AF" w:rsidR="00C34B01" w:rsidRPr="0072753B" w:rsidRDefault="005D4830"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An organisation whose focus is educating and creating awareness on human rights for SOGIESC people with disabilities and calling out or putting political pressure where their rights are breached or ignored, used the grant to host a team retreat, set up a safe space and provide counselling for </w:t>
            </w:r>
            <w:r w:rsidR="00377294" w:rsidRPr="0072753B">
              <w:rPr>
                <w:rFonts w:asciiTheme="majorHAnsi" w:hAnsiTheme="majorHAnsi" w:cstheme="majorHAnsi"/>
                <w:szCs w:val="20"/>
              </w:rPr>
              <w:t>human rights defenders (H</w:t>
            </w:r>
            <w:r w:rsidRPr="0072753B">
              <w:rPr>
                <w:rFonts w:asciiTheme="majorHAnsi" w:hAnsiTheme="majorHAnsi" w:cstheme="majorHAnsi"/>
                <w:szCs w:val="20"/>
              </w:rPr>
              <w:t>RDs</w:t>
            </w:r>
            <w:r w:rsidR="00377294" w:rsidRPr="0072753B">
              <w:rPr>
                <w:rFonts w:asciiTheme="majorHAnsi" w:hAnsiTheme="majorHAnsi" w:cstheme="majorHAnsi"/>
                <w:szCs w:val="20"/>
              </w:rPr>
              <w:t>)</w:t>
            </w:r>
            <w:r w:rsidRPr="0072753B">
              <w:rPr>
                <w:rFonts w:asciiTheme="majorHAnsi" w:hAnsiTheme="majorHAnsi" w:cstheme="majorHAnsi"/>
                <w:szCs w:val="20"/>
              </w:rPr>
              <w:t>. The intention was to replenish the core team’s energy</w:t>
            </w:r>
            <w:r w:rsidR="00377294" w:rsidRPr="0072753B">
              <w:rPr>
                <w:rFonts w:asciiTheme="majorHAnsi" w:hAnsiTheme="majorHAnsi" w:cstheme="majorHAnsi"/>
                <w:szCs w:val="20"/>
              </w:rPr>
              <w:t xml:space="preserve">, </w:t>
            </w:r>
            <w:r w:rsidRPr="0072753B">
              <w:rPr>
                <w:rFonts w:asciiTheme="majorHAnsi" w:hAnsiTheme="majorHAnsi" w:cstheme="majorHAnsi"/>
                <w:szCs w:val="20"/>
              </w:rPr>
              <w:t>creating space for reflection, connection</w:t>
            </w:r>
            <w:r w:rsidR="00377294" w:rsidRPr="0072753B">
              <w:rPr>
                <w:rFonts w:asciiTheme="majorHAnsi" w:hAnsiTheme="majorHAnsi" w:cstheme="majorHAnsi"/>
                <w:szCs w:val="20"/>
              </w:rPr>
              <w:t xml:space="preserve"> </w:t>
            </w:r>
            <w:r w:rsidRPr="0072753B">
              <w:rPr>
                <w:rFonts w:asciiTheme="majorHAnsi" w:hAnsiTheme="majorHAnsi" w:cstheme="majorHAnsi"/>
                <w:szCs w:val="20"/>
              </w:rPr>
              <w:t>and joy</w:t>
            </w:r>
            <w:r w:rsidR="00377294" w:rsidRPr="0072753B">
              <w:rPr>
                <w:rFonts w:asciiTheme="majorHAnsi" w:hAnsiTheme="majorHAnsi" w:cstheme="majorHAnsi"/>
                <w:szCs w:val="20"/>
              </w:rPr>
              <w:t xml:space="preserve">, </w:t>
            </w:r>
            <w:r w:rsidRPr="0072753B">
              <w:rPr>
                <w:rFonts w:asciiTheme="majorHAnsi" w:hAnsiTheme="majorHAnsi" w:cstheme="majorHAnsi"/>
                <w:szCs w:val="20"/>
              </w:rPr>
              <w:t>so they could return to the work with renewed vitality and purpose.</w:t>
            </w:r>
          </w:p>
        </w:tc>
        <w:tc>
          <w:tcPr>
            <w:tcW w:w="0" w:type="dxa"/>
            <w:tcBorders>
              <w:top w:val="single" w:sz="4" w:space="0" w:color="auto"/>
            </w:tcBorders>
            <w:tcMar>
              <w:top w:w="85" w:type="dxa"/>
              <w:bottom w:w="85" w:type="dxa"/>
            </w:tcMar>
          </w:tcPr>
          <w:p w14:paraId="1567DB65" w14:textId="7796607D" w:rsidR="00C34B01" w:rsidRPr="0072753B" w:rsidRDefault="005D4830"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Fiji</w:t>
            </w:r>
          </w:p>
        </w:tc>
        <w:tc>
          <w:tcPr>
            <w:tcW w:w="0" w:type="dxa"/>
            <w:tcBorders>
              <w:top w:val="single" w:sz="4" w:space="0" w:color="auto"/>
            </w:tcBorders>
          </w:tcPr>
          <w:p w14:paraId="4EB3FDB7" w14:textId="77777777" w:rsidR="00C34B01" w:rsidRPr="0072753B" w:rsidRDefault="003C3FF8"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$7,650</w:t>
            </w:r>
          </w:p>
          <w:p w14:paraId="6E61A201" w14:textId="77777777" w:rsidR="003C3FF8" w:rsidRPr="0072753B" w:rsidRDefault="003C3FF8"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45DECADD" w14:textId="602B354C" w:rsidR="003C3FF8" w:rsidRPr="0072753B" w:rsidRDefault="003C3FF8"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0" w:type="dxa"/>
            <w:tcBorders>
              <w:top w:val="single" w:sz="4" w:space="0" w:color="auto"/>
            </w:tcBorders>
          </w:tcPr>
          <w:p w14:paraId="0F196105" w14:textId="6A521553" w:rsidR="00C17081" w:rsidRPr="0072753B" w:rsidRDefault="003C3FF8"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5F53B2" w:rsidRPr="0072753B" w14:paraId="34EB28FE" w14:textId="77777777" w:rsidTr="005F53B2">
        <w:trPr>
          <w:trHeight w:val="1344"/>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7F7F7F" w:themeColor="text1" w:themeTint="80"/>
              <w:bottom w:val="nil"/>
            </w:tcBorders>
            <w:tcMar>
              <w:top w:w="85" w:type="dxa"/>
              <w:bottom w:w="85" w:type="dxa"/>
            </w:tcMar>
          </w:tcPr>
          <w:p w14:paraId="2F5275C6" w14:textId="549D12FE" w:rsidR="00C17081" w:rsidRPr="0072753B" w:rsidRDefault="00C17081" w:rsidP="0072753B">
            <w:pPr>
              <w:pStyle w:val="BodyText"/>
              <w:rPr>
                <w:rFonts w:asciiTheme="majorHAnsi" w:hAnsiTheme="majorHAnsi" w:cstheme="majorHAnsi"/>
                <w:szCs w:val="20"/>
              </w:rPr>
            </w:pPr>
            <w:r w:rsidRPr="0072753B">
              <w:rPr>
                <w:rFonts w:asciiTheme="majorHAnsi" w:hAnsiTheme="majorHAnsi" w:cstheme="majorHAnsi"/>
                <w:szCs w:val="20"/>
              </w:rPr>
              <w:lastRenderedPageBreak/>
              <w:t>2</w:t>
            </w:r>
          </w:p>
        </w:tc>
        <w:tc>
          <w:tcPr>
            <w:tcW w:w="2977" w:type="dxa"/>
            <w:tcBorders>
              <w:top w:val="single" w:sz="4" w:space="0" w:color="7F7F7F" w:themeColor="text1" w:themeTint="80"/>
              <w:bottom w:val="nil"/>
            </w:tcBorders>
            <w:tcMar>
              <w:top w:w="85" w:type="dxa"/>
              <w:bottom w:w="85" w:type="dxa"/>
            </w:tcMar>
          </w:tcPr>
          <w:p w14:paraId="49F1CDEF" w14:textId="77777777" w:rsidR="00643618" w:rsidRPr="0072753B" w:rsidRDefault="00057B14"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097CF311" w14:textId="5086442A" w:rsidR="00C17081" w:rsidRPr="0072753B" w:rsidRDefault="00057B14"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Borders>
              <w:top w:val="single" w:sz="4" w:space="0" w:color="7F7F7F" w:themeColor="text1" w:themeTint="80"/>
              <w:bottom w:val="nil"/>
            </w:tcBorders>
            <w:tcMar>
              <w:top w:w="85" w:type="dxa"/>
              <w:bottom w:w="85" w:type="dxa"/>
            </w:tcMar>
          </w:tcPr>
          <w:p w14:paraId="19858741" w14:textId="2CFB960B" w:rsidR="00C17081" w:rsidRPr="0072753B" w:rsidRDefault="00D35DE7"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A</w:t>
            </w:r>
            <w:r w:rsidR="00FD12E0" w:rsidRPr="0072753B">
              <w:rPr>
                <w:rFonts w:asciiTheme="majorHAnsi" w:hAnsiTheme="majorHAnsi" w:cstheme="majorHAnsi"/>
                <w:szCs w:val="20"/>
              </w:rPr>
              <w:t>n</w:t>
            </w:r>
            <w:r w:rsidRPr="0072753B">
              <w:rPr>
                <w:rFonts w:asciiTheme="majorHAnsi" w:hAnsiTheme="majorHAnsi" w:cstheme="majorHAnsi"/>
                <w:szCs w:val="20"/>
              </w:rPr>
              <w:t xml:space="preserve"> NGO received a grant for secure relocation and legal, psychosocial &amp; well-being support for 6 </w:t>
            </w:r>
            <w:r w:rsidR="00643618" w:rsidRPr="0072753B">
              <w:rPr>
                <w:rFonts w:asciiTheme="majorHAnsi" w:hAnsiTheme="majorHAnsi" w:cstheme="majorHAnsi"/>
                <w:szCs w:val="20"/>
              </w:rPr>
              <w:t xml:space="preserve">women </w:t>
            </w:r>
            <w:r w:rsidRPr="0072753B">
              <w:rPr>
                <w:rFonts w:asciiTheme="majorHAnsi" w:hAnsiTheme="majorHAnsi" w:cstheme="majorHAnsi"/>
                <w:szCs w:val="20"/>
              </w:rPr>
              <w:t xml:space="preserve">HRDs and their families, who were </w:t>
            </w:r>
            <w:r w:rsidR="000C334C" w:rsidRPr="0072753B">
              <w:rPr>
                <w:rFonts w:asciiTheme="majorHAnsi" w:hAnsiTheme="majorHAnsi" w:cstheme="majorHAnsi"/>
                <w:szCs w:val="20"/>
              </w:rPr>
              <w:t xml:space="preserve">targeted </w:t>
            </w:r>
            <w:r w:rsidR="00EC5736" w:rsidRPr="0072753B">
              <w:rPr>
                <w:rFonts w:asciiTheme="majorHAnsi" w:hAnsiTheme="majorHAnsi" w:cstheme="majorHAnsi"/>
                <w:szCs w:val="20"/>
              </w:rPr>
              <w:t>for</w:t>
            </w:r>
            <w:r w:rsidRPr="0072753B">
              <w:rPr>
                <w:rFonts w:asciiTheme="majorHAnsi" w:hAnsiTheme="majorHAnsi" w:cstheme="majorHAnsi"/>
                <w:szCs w:val="20"/>
              </w:rPr>
              <w:t xml:space="preserve"> robbery and violence from male perpetrators over land ownership. Amid heightened tensions, the NGO representatives were also compelled to temporarily relocate due to concerns for their personal safety.</w:t>
            </w:r>
          </w:p>
        </w:tc>
        <w:tc>
          <w:tcPr>
            <w:tcW w:w="1843" w:type="dxa"/>
            <w:tcBorders>
              <w:top w:val="single" w:sz="4" w:space="0" w:color="7F7F7F" w:themeColor="text1" w:themeTint="80"/>
              <w:bottom w:val="nil"/>
            </w:tcBorders>
            <w:tcMar>
              <w:top w:w="85" w:type="dxa"/>
              <w:bottom w:w="85" w:type="dxa"/>
            </w:tcMar>
          </w:tcPr>
          <w:p w14:paraId="32A2854E" w14:textId="34860F4F" w:rsidR="00C17081" w:rsidRPr="0072753B" w:rsidRDefault="00C17081"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PNG</w:t>
            </w:r>
          </w:p>
        </w:tc>
        <w:tc>
          <w:tcPr>
            <w:tcW w:w="2268" w:type="dxa"/>
            <w:tcBorders>
              <w:top w:val="single" w:sz="4" w:space="0" w:color="7F7F7F" w:themeColor="text1" w:themeTint="80"/>
              <w:bottom w:val="nil"/>
            </w:tcBorders>
          </w:tcPr>
          <w:p w14:paraId="5925B4CF" w14:textId="77777777" w:rsidR="00C17081" w:rsidRPr="0072753B" w:rsidRDefault="00115470"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$7,650</w:t>
            </w:r>
          </w:p>
          <w:p w14:paraId="6BDA50A7" w14:textId="77777777" w:rsidR="00D35DE7" w:rsidRPr="0072753B" w:rsidRDefault="00D35DE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1FE0E01F" w14:textId="4BFDD4B0" w:rsidR="00D35DE7" w:rsidRPr="0072753B" w:rsidRDefault="00D35DE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1684" w:type="dxa"/>
            <w:tcBorders>
              <w:top w:val="single" w:sz="4" w:space="0" w:color="7F7F7F" w:themeColor="text1" w:themeTint="80"/>
              <w:bottom w:val="nil"/>
            </w:tcBorders>
          </w:tcPr>
          <w:p w14:paraId="1102D67D" w14:textId="335912D4" w:rsidR="00C17081" w:rsidRPr="0072753B" w:rsidRDefault="00D93013"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5F53B2" w:rsidRPr="0072753B" w14:paraId="30FC1132" w14:textId="77777777" w:rsidTr="005F53B2">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tcMar>
              <w:top w:w="85" w:type="dxa"/>
              <w:bottom w:w="85" w:type="dxa"/>
            </w:tcMar>
          </w:tcPr>
          <w:p w14:paraId="5FC1348D" w14:textId="77777777"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3</w:t>
            </w:r>
          </w:p>
        </w:tc>
        <w:tc>
          <w:tcPr>
            <w:tcW w:w="2977" w:type="dxa"/>
            <w:tcBorders>
              <w:bottom w:val="single" w:sz="4" w:space="0" w:color="auto"/>
            </w:tcBorders>
            <w:tcMar>
              <w:top w:w="85" w:type="dxa"/>
              <w:bottom w:w="85" w:type="dxa"/>
            </w:tcMar>
          </w:tcPr>
          <w:p w14:paraId="120A01C2"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Urgent Action Fund</w:t>
            </w:r>
          </w:p>
          <w:p w14:paraId="24F21E9C"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Borders>
              <w:bottom w:val="single" w:sz="4" w:space="0" w:color="auto"/>
            </w:tcBorders>
            <w:tcMar>
              <w:top w:w="85" w:type="dxa"/>
              <w:bottom w:w="85" w:type="dxa"/>
            </w:tcMar>
          </w:tcPr>
          <w:p w14:paraId="778D03CF" w14:textId="3DFEDFC0" w:rsidR="005F53B2" w:rsidRPr="0072753B" w:rsidRDefault="00FF4D8F"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eastAsia="Arial" w:cstheme="majorHAnsi"/>
                <w:szCs w:val="20"/>
              </w:rPr>
              <w:t>Increased visibility and advocacy efforts for human rights and climate/environmental justice by the frontline defender group resulted in backlash from opposing people within the community, which led to targeted harassment including physical and digital attacks.  The situation highlighted the crucial need for enhanced security and protection strategies for the group. With support from UAF A&amp;P, they proposed to create a more resilient and secure environment for their members through collective safety &amp; well-being measures, including relocation to safe locations and establishment of risk mitigation action plans.</w:t>
            </w:r>
          </w:p>
        </w:tc>
        <w:tc>
          <w:tcPr>
            <w:tcW w:w="1843" w:type="dxa"/>
            <w:tcBorders>
              <w:bottom w:val="single" w:sz="4" w:space="0" w:color="auto"/>
            </w:tcBorders>
            <w:tcMar>
              <w:top w:w="85" w:type="dxa"/>
              <w:bottom w:w="85" w:type="dxa"/>
            </w:tcMar>
          </w:tcPr>
          <w:p w14:paraId="77D824CA"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PNG</w:t>
            </w:r>
          </w:p>
        </w:tc>
        <w:tc>
          <w:tcPr>
            <w:tcW w:w="2268" w:type="dxa"/>
            <w:tcBorders>
              <w:bottom w:val="single" w:sz="4" w:space="0" w:color="auto"/>
            </w:tcBorders>
          </w:tcPr>
          <w:p w14:paraId="3A085EAE"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$7,650</w:t>
            </w:r>
          </w:p>
          <w:p w14:paraId="6E251871"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2027A216"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1684" w:type="dxa"/>
            <w:tcBorders>
              <w:bottom w:val="single" w:sz="4" w:space="0" w:color="auto"/>
            </w:tcBorders>
          </w:tcPr>
          <w:p w14:paraId="2B81E35C"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Completed </w:t>
            </w:r>
          </w:p>
        </w:tc>
      </w:tr>
      <w:tr w:rsidR="005F53B2" w:rsidRPr="0072753B" w14:paraId="3ECA8D1A" w14:textId="77777777" w:rsidTr="00CA6E7B">
        <w:trPr>
          <w:trHeight w:val="134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nil"/>
            </w:tcBorders>
            <w:tcMar>
              <w:top w:w="85" w:type="dxa"/>
              <w:bottom w:w="85" w:type="dxa"/>
            </w:tcMar>
          </w:tcPr>
          <w:p w14:paraId="0BE29D8F" w14:textId="41AC7531"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4</w:t>
            </w:r>
          </w:p>
        </w:tc>
        <w:tc>
          <w:tcPr>
            <w:tcW w:w="0" w:type="dxa"/>
            <w:tcBorders>
              <w:top w:val="single" w:sz="4" w:space="0" w:color="7F7F7F" w:themeColor="text1" w:themeTint="80"/>
              <w:bottom w:val="nil"/>
            </w:tcBorders>
            <w:tcMar>
              <w:top w:w="85" w:type="dxa"/>
              <w:bottom w:w="85" w:type="dxa"/>
            </w:tcMar>
          </w:tcPr>
          <w:p w14:paraId="1018B4E4"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0FC33897" w14:textId="1EE04B5F"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0" w:type="dxa"/>
            <w:tcBorders>
              <w:top w:val="single" w:sz="4" w:space="0" w:color="7F7F7F" w:themeColor="text1" w:themeTint="80"/>
              <w:bottom w:val="nil"/>
            </w:tcBorders>
            <w:tcMar>
              <w:top w:w="85" w:type="dxa"/>
              <w:bottom w:w="85" w:type="dxa"/>
            </w:tcMar>
          </w:tcPr>
          <w:p w14:paraId="4F5EB0D4" w14:textId="1DB84C5D"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Following the devastating earthquake last year, a grant went to a rights-based group for emergency support for their community - specifically for building materials, water tanks, volunteer’s costs, transportation, food and communication.</w:t>
            </w:r>
          </w:p>
        </w:tc>
        <w:tc>
          <w:tcPr>
            <w:tcW w:w="1843" w:type="dxa"/>
            <w:tcBorders>
              <w:top w:val="single" w:sz="4" w:space="0" w:color="7F7F7F" w:themeColor="text1" w:themeTint="80"/>
              <w:bottom w:val="nil"/>
            </w:tcBorders>
            <w:tcMar>
              <w:top w:w="85" w:type="dxa"/>
              <w:bottom w:w="85" w:type="dxa"/>
            </w:tcMar>
          </w:tcPr>
          <w:p w14:paraId="7EB282CA" w14:textId="42563EE3"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Vanuatu</w:t>
            </w:r>
          </w:p>
        </w:tc>
        <w:tc>
          <w:tcPr>
            <w:tcW w:w="2268" w:type="dxa"/>
            <w:tcBorders>
              <w:top w:val="single" w:sz="4" w:space="0" w:color="7F7F7F" w:themeColor="text1" w:themeTint="80"/>
              <w:bottom w:val="nil"/>
            </w:tcBorders>
          </w:tcPr>
          <w:p w14:paraId="01B75FAA"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$6,579</w:t>
            </w:r>
          </w:p>
          <w:p w14:paraId="72DD9E06"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3B043EE6"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p w14:paraId="21506E0E"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1684" w:type="dxa"/>
            <w:tcBorders>
              <w:top w:val="single" w:sz="4" w:space="0" w:color="7F7F7F" w:themeColor="text1" w:themeTint="80"/>
              <w:bottom w:val="nil"/>
            </w:tcBorders>
          </w:tcPr>
          <w:p w14:paraId="259ACD81" w14:textId="2CEDCB8E"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5F53B2" w:rsidRPr="0072753B" w14:paraId="72518926" w14:textId="77777777" w:rsidTr="0010782C">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562" w:type="dxa"/>
            <w:tcMar>
              <w:top w:w="85" w:type="dxa"/>
              <w:bottom w:w="85" w:type="dxa"/>
            </w:tcMar>
          </w:tcPr>
          <w:p w14:paraId="2E9BF740" w14:textId="77777777"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5</w:t>
            </w:r>
          </w:p>
        </w:tc>
        <w:tc>
          <w:tcPr>
            <w:tcW w:w="2977" w:type="dxa"/>
            <w:tcMar>
              <w:top w:w="85" w:type="dxa"/>
              <w:bottom w:w="85" w:type="dxa"/>
            </w:tcMar>
          </w:tcPr>
          <w:p w14:paraId="30690E58"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4958135F"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Mar>
              <w:top w:w="85" w:type="dxa"/>
              <w:bottom w:w="85" w:type="dxa"/>
            </w:tcMar>
          </w:tcPr>
          <w:p w14:paraId="52EBEF57"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An organisation that represents and is led by people with disabilities, received an emergency grant to provide support for their members impacted by the December 2024 earthquake.  This was mainly for </w:t>
            </w:r>
            <w:r w:rsidRPr="0072753B">
              <w:rPr>
                <w:rFonts w:asciiTheme="majorHAnsi" w:hAnsiTheme="majorHAnsi" w:cstheme="majorHAnsi"/>
                <w:szCs w:val="20"/>
              </w:rPr>
              <w:lastRenderedPageBreak/>
              <w:t>food, water, household items, hygiene and sanitary kits and temporary shelter.</w:t>
            </w:r>
          </w:p>
        </w:tc>
        <w:tc>
          <w:tcPr>
            <w:tcW w:w="1843" w:type="dxa"/>
            <w:tcMar>
              <w:top w:w="85" w:type="dxa"/>
              <w:bottom w:w="85" w:type="dxa"/>
            </w:tcMar>
          </w:tcPr>
          <w:p w14:paraId="4049AF8D"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lastRenderedPageBreak/>
              <w:t>Vanuatu</w:t>
            </w:r>
          </w:p>
        </w:tc>
        <w:tc>
          <w:tcPr>
            <w:tcW w:w="2268" w:type="dxa"/>
          </w:tcPr>
          <w:p w14:paraId="65E090FB"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$7,650</w:t>
            </w:r>
          </w:p>
          <w:p w14:paraId="7326E870"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36B0092C"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1684" w:type="dxa"/>
          </w:tcPr>
          <w:p w14:paraId="1A5CB9D3"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Completed </w:t>
            </w:r>
          </w:p>
        </w:tc>
      </w:tr>
      <w:tr w:rsidR="005F53B2" w:rsidRPr="0072753B" w14:paraId="18EBD04D" w14:textId="77777777" w:rsidTr="0010782C">
        <w:trPr>
          <w:trHeight w:val="2572"/>
        </w:trPr>
        <w:tc>
          <w:tcPr>
            <w:cnfStyle w:val="001000000000" w:firstRow="0" w:lastRow="0" w:firstColumn="1" w:lastColumn="0" w:oddVBand="0" w:evenVBand="0" w:oddHBand="0" w:evenHBand="0" w:firstRowFirstColumn="0" w:firstRowLastColumn="0" w:lastRowFirstColumn="0" w:lastRowLastColumn="0"/>
            <w:tcW w:w="562" w:type="dxa"/>
            <w:tcMar>
              <w:top w:w="85" w:type="dxa"/>
              <w:bottom w:w="85" w:type="dxa"/>
            </w:tcMar>
          </w:tcPr>
          <w:p w14:paraId="150F3187" w14:textId="77777777"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6</w:t>
            </w:r>
          </w:p>
        </w:tc>
        <w:tc>
          <w:tcPr>
            <w:tcW w:w="2977" w:type="dxa"/>
            <w:tcMar>
              <w:top w:w="85" w:type="dxa"/>
              <w:bottom w:w="85" w:type="dxa"/>
            </w:tcMar>
          </w:tcPr>
          <w:p w14:paraId="02EBB4A1"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277D3AE3"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Mar>
              <w:top w:w="85" w:type="dxa"/>
              <w:bottom w:w="85" w:type="dxa"/>
            </w:tcMar>
          </w:tcPr>
          <w:p w14:paraId="0A48EB5D"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pPr>
            <w:r w:rsidRPr="0072753B">
              <w:rPr>
                <w:rFonts w:asciiTheme="majorHAnsi" w:hAnsiTheme="majorHAnsi" w:cstheme="majorHAnsi"/>
                <w:color w:val="000000"/>
                <w:sz w:val="20"/>
                <w:szCs w:val="20"/>
              </w:rPr>
              <w:t>Following the December earthquake, emergency support went to a youth led grassroots organisation to support their community for medical, food rations, water, lighting, transportation and communications.  This group has been actively involved in creating community awareness on climate change and coastal erosion.  Last year UAF A&amp;P supported them in their efforts to mitigate the impacts of climate change via coastline rehabilitation (mangrove and coral planting), which is critical to long-term disaster preparedness.</w:t>
            </w:r>
          </w:p>
        </w:tc>
        <w:tc>
          <w:tcPr>
            <w:tcW w:w="1843" w:type="dxa"/>
            <w:tcMar>
              <w:top w:w="85" w:type="dxa"/>
              <w:bottom w:w="85" w:type="dxa"/>
            </w:tcMar>
          </w:tcPr>
          <w:p w14:paraId="2A7A118C"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Vanuatu</w:t>
            </w:r>
          </w:p>
        </w:tc>
        <w:tc>
          <w:tcPr>
            <w:tcW w:w="2268" w:type="dxa"/>
          </w:tcPr>
          <w:p w14:paraId="27FFFBA2"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$6,258</w:t>
            </w:r>
          </w:p>
          <w:p w14:paraId="22652C2D"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1E5C8847"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2025 </w:t>
            </w:r>
          </w:p>
        </w:tc>
        <w:tc>
          <w:tcPr>
            <w:tcW w:w="1684" w:type="dxa"/>
          </w:tcPr>
          <w:p w14:paraId="5EE4BBAC"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p w14:paraId="080091F3"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tc>
      </w:tr>
      <w:tr w:rsidR="005F53B2" w:rsidRPr="0072753B" w14:paraId="491CEB3A" w14:textId="77777777" w:rsidTr="0010782C">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62" w:type="dxa"/>
            <w:tcMar>
              <w:top w:w="85" w:type="dxa"/>
              <w:bottom w:w="85" w:type="dxa"/>
            </w:tcMar>
          </w:tcPr>
          <w:p w14:paraId="36F7CF69" w14:textId="77777777"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7</w:t>
            </w:r>
          </w:p>
        </w:tc>
        <w:tc>
          <w:tcPr>
            <w:tcW w:w="2977" w:type="dxa"/>
            <w:tcMar>
              <w:top w:w="85" w:type="dxa"/>
              <w:bottom w:w="85" w:type="dxa"/>
            </w:tcMar>
          </w:tcPr>
          <w:p w14:paraId="5BDCC755"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3FD80010"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Mar>
              <w:top w:w="85" w:type="dxa"/>
              <w:bottom w:w="85" w:type="dxa"/>
            </w:tcMar>
          </w:tcPr>
          <w:p w14:paraId="5C874D23"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Selfcare grant</w:t>
            </w:r>
          </w:p>
        </w:tc>
        <w:tc>
          <w:tcPr>
            <w:tcW w:w="1843" w:type="dxa"/>
            <w:tcMar>
              <w:top w:w="85" w:type="dxa"/>
              <w:bottom w:w="85" w:type="dxa"/>
            </w:tcMar>
          </w:tcPr>
          <w:p w14:paraId="4DA72410"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2268" w:type="dxa"/>
          </w:tcPr>
          <w:p w14:paraId="201F4651"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$6,426</w:t>
            </w:r>
          </w:p>
          <w:p w14:paraId="6AD9565C"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2ED2E575"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p>
        </w:tc>
        <w:tc>
          <w:tcPr>
            <w:tcW w:w="1684" w:type="dxa"/>
          </w:tcPr>
          <w:p w14:paraId="6BB991D8"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5F53B2" w:rsidRPr="0072753B" w14:paraId="4F2A7BC2" w14:textId="77777777" w:rsidTr="005F53B2">
        <w:trPr>
          <w:trHeight w:val="756"/>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tcMar>
              <w:top w:w="85" w:type="dxa"/>
              <w:bottom w:w="85" w:type="dxa"/>
            </w:tcMar>
          </w:tcPr>
          <w:p w14:paraId="1F136670" w14:textId="70EAECB0"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8</w:t>
            </w:r>
          </w:p>
        </w:tc>
        <w:tc>
          <w:tcPr>
            <w:tcW w:w="2977" w:type="dxa"/>
            <w:tcBorders>
              <w:bottom w:val="single" w:sz="4" w:space="0" w:color="auto"/>
            </w:tcBorders>
            <w:tcMar>
              <w:top w:w="85" w:type="dxa"/>
              <w:bottom w:w="85" w:type="dxa"/>
            </w:tcMar>
          </w:tcPr>
          <w:p w14:paraId="6DB33BA6"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464D88AA" w14:textId="4151799C"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4961" w:type="dxa"/>
            <w:tcBorders>
              <w:bottom w:val="single" w:sz="4" w:space="0" w:color="auto"/>
            </w:tcBorders>
            <w:tcMar>
              <w:top w:w="85" w:type="dxa"/>
              <w:bottom w:w="85" w:type="dxa"/>
            </w:tcMar>
          </w:tcPr>
          <w:p w14:paraId="2780C185" w14:textId="57972DF3"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Selfcare grant</w:t>
            </w:r>
          </w:p>
        </w:tc>
        <w:tc>
          <w:tcPr>
            <w:tcW w:w="1843" w:type="dxa"/>
            <w:tcBorders>
              <w:bottom w:val="single" w:sz="4" w:space="0" w:color="auto"/>
            </w:tcBorders>
            <w:tcMar>
              <w:top w:w="85" w:type="dxa"/>
              <w:bottom w:w="85" w:type="dxa"/>
            </w:tcMar>
          </w:tcPr>
          <w:p w14:paraId="118CC40A" w14:textId="50CCC933"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2268" w:type="dxa"/>
            <w:tcBorders>
              <w:bottom w:val="single" w:sz="4" w:space="0" w:color="auto"/>
            </w:tcBorders>
          </w:tcPr>
          <w:p w14:paraId="5AEA5F36"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$7,237</w:t>
            </w:r>
          </w:p>
          <w:p w14:paraId="3E12BA92"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0497A5D" w14:textId="25F7FC18"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p>
        </w:tc>
        <w:tc>
          <w:tcPr>
            <w:tcW w:w="1684" w:type="dxa"/>
            <w:tcBorders>
              <w:bottom w:val="single" w:sz="4" w:space="0" w:color="auto"/>
            </w:tcBorders>
          </w:tcPr>
          <w:p w14:paraId="7DE82D9A" w14:textId="52AC05F3"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r w:rsidR="005F53B2" w:rsidRPr="0072753B" w14:paraId="125BC688" w14:textId="77777777" w:rsidTr="00CA6E7B">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4016837D" w14:textId="238587D0"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9</w:t>
            </w:r>
          </w:p>
        </w:tc>
        <w:tc>
          <w:tcPr>
            <w:tcW w:w="0" w:type="dxa"/>
            <w:tcBorders>
              <w:top w:val="single" w:sz="4" w:space="0" w:color="auto"/>
              <w:bottom w:val="single" w:sz="4" w:space="0" w:color="auto"/>
            </w:tcBorders>
            <w:tcMar>
              <w:top w:w="85" w:type="dxa"/>
              <w:bottom w:w="85" w:type="dxa"/>
            </w:tcMar>
          </w:tcPr>
          <w:p w14:paraId="19AE5949" w14:textId="7777777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Urgent Action Fund </w:t>
            </w:r>
          </w:p>
          <w:p w14:paraId="3ABF29A1" w14:textId="63F71A07"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Confidential Grant</w:t>
            </w:r>
          </w:p>
        </w:tc>
        <w:tc>
          <w:tcPr>
            <w:tcW w:w="0" w:type="dxa"/>
            <w:tcBorders>
              <w:top w:val="single" w:sz="4" w:space="0" w:color="auto"/>
              <w:bottom w:val="single" w:sz="4" w:space="0" w:color="auto"/>
            </w:tcBorders>
            <w:tcMar>
              <w:top w:w="85" w:type="dxa"/>
              <w:bottom w:w="85" w:type="dxa"/>
            </w:tcMar>
          </w:tcPr>
          <w:p w14:paraId="52ACC973" w14:textId="707548FF"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Selfcare grant</w:t>
            </w:r>
          </w:p>
        </w:tc>
        <w:tc>
          <w:tcPr>
            <w:tcW w:w="0" w:type="dxa"/>
            <w:tcBorders>
              <w:top w:val="single" w:sz="4" w:space="0" w:color="auto"/>
              <w:bottom w:val="single" w:sz="4" w:space="0" w:color="auto"/>
            </w:tcBorders>
            <w:tcMar>
              <w:top w:w="85" w:type="dxa"/>
              <w:bottom w:w="85" w:type="dxa"/>
            </w:tcMar>
          </w:tcPr>
          <w:p w14:paraId="49B910F3" w14:textId="4EC68358"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0" w:type="dxa"/>
            <w:tcBorders>
              <w:top w:val="single" w:sz="4" w:space="0" w:color="auto"/>
              <w:bottom w:val="single" w:sz="4" w:space="0" w:color="auto"/>
            </w:tcBorders>
          </w:tcPr>
          <w:p w14:paraId="16255014"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$7,650</w:t>
            </w:r>
          </w:p>
          <w:p w14:paraId="0D0FDEED"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BCC21C0" w14:textId="4C452D9A"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p>
        </w:tc>
        <w:tc>
          <w:tcPr>
            <w:tcW w:w="0" w:type="dxa"/>
            <w:tcBorders>
              <w:top w:val="single" w:sz="4" w:space="0" w:color="auto"/>
              <w:bottom w:val="single" w:sz="4" w:space="0" w:color="auto"/>
            </w:tcBorders>
          </w:tcPr>
          <w:p w14:paraId="4137BD09" w14:textId="1B4ADC56"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5F53B2" w:rsidRPr="0072753B" w14:paraId="630B9249" w14:textId="77777777" w:rsidTr="00CA6E7B">
        <w:trPr>
          <w:trHeight w:val="471"/>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5939F21E" w14:textId="4D84F52C"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10</w:t>
            </w:r>
          </w:p>
        </w:tc>
        <w:tc>
          <w:tcPr>
            <w:tcW w:w="0" w:type="dxa"/>
            <w:tcBorders>
              <w:top w:val="single" w:sz="4" w:space="0" w:color="auto"/>
              <w:bottom w:val="single" w:sz="4" w:space="0" w:color="auto"/>
            </w:tcBorders>
            <w:tcMar>
              <w:top w:w="85" w:type="dxa"/>
              <w:bottom w:w="85" w:type="dxa"/>
            </w:tcMar>
          </w:tcPr>
          <w:p w14:paraId="5A35A3FC" w14:textId="77777777"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0"/>
              </w:rPr>
            </w:pPr>
            <w:r w:rsidRPr="0072753B">
              <w:rPr>
                <w:rFonts w:asciiTheme="majorHAnsi" w:hAnsiTheme="majorHAnsi" w:cstheme="majorHAnsi"/>
                <w:color w:val="000000"/>
                <w:szCs w:val="20"/>
              </w:rPr>
              <w:t xml:space="preserve">Urgent Action Fund </w:t>
            </w:r>
          </w:p>
          <w:p w14:paraId="1F0A4E81" w14:textId="4ECE44E3"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color w:val="000000"/>
                <w:szCs w:val="20"/>
              </w:rPr>
              <w:t>Confidential Grant</w:t>
            </w:r>
          </w:p>
        </w:tc>
        <w:tc>
          <w:tcPr>
            <w:tcW w:w="0" w:type="dxa"/>
            <w:tcBorders>
              <w:top w:val="single" w:sz="4" w:space="0" w:color="auto"/>
              <w:bottom w:val="single" w:sz="4" w:space="0" w:color="auto"/>
            </w:tcBorders>
            <w:tcMar>
              <w:top w:w="85" w:type="dxa"/>
              <w:bottom w:w="85" w:type="dxa"/>
            </w:tcMar>
          </w:tcPr>
          <w:p w14:paraId="69726A07" w14:textId="323F5366"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Selfcare grant</w:t>
            </w:r>
          </w:p>
        </w:tc>
        <w:tc>
          <w:tcPr>
            <w:tcW w:w="0" w:type="dxa"/>
            <w:tcBorders>
              <w:top w:val="single" w:sz="4" w:space="0" w:color="auto"/>
              <w:bottom w:val="single" w:sz="4" w:space="0" w:color="auto"/>
            </w:tcBorders>
            <w:tcMar>
              <w:top w:w="85" w:type="dxa"/>
              <w:bottom w:w="85" w:type="dxa"/>
            </w:tcMar>
          </w:tcPr>
          <w:p w14:paraId="655A6D1A" w14:textId="745C2020"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0" w:type="dxa"/>
            <w:tcBorders>
              <w:top w:val="single" w:sz="4" w:space="0" w:color="auto"/>
              <w:bottom w:val="single" w:sz="4" w:space="0" w:color="auto"/>
            </w:tcBorders>
          </w:tcPr>
          <w:p w14:paraId="6CBF4E0B"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$5,355</w:t>
            </w:r>
          </w:p>
          <w:p w14:paraId="7BEBF270"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9186120" w14:textId="28C02B03"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p>
        </w:tc>
        <w:tc>
          <w:tcPr>
            <w:tcW w:w="0" w:type="dxa"/>
            <w:tcBorders>
              <w:top w:val="single" w:sz="4" w:space="0" w:color="auto"/>
              <w:bottom w:val="single" w:sz="4" w:space="0" w:color="auto"/>
            </w:tcBorders>
          </w:tcPr>
          <w:p w14:paraId="1752EAEF" w14:textId="36CFC7EE"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r w:rsidR="005F53B2" w:rsidRPr="0072753B" w14:paraId="75004AC7" w14:textId="77777777" w:rsidTr="00CA6E7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428D41EB" w14:textId="7A8CFFF3"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11</w:t>
            </w:r>
          </w:p>
        </w:tc>
        <w:tc>
          <w:tcPr>
            <w:tcW w:w="0" w:type="dxa"/>
            <w:tcBorders>
              <w:top w:val="single" w:sz="4" w:space="0" w:color="auto"/>
              <w:bottom w:val="single" w:sz="4" w:space="0" w:color="auto"/>
            </w:tcBorders>
            <w:tcMar>
              <w:top w:w="85" w:type="dxa"/>
              <w:bottom w:w="85" w:type="dxa"/>
            </w:tcMar>
          </w:tcPr>
          <w:p w14:paraId="14719E9E" w14:textId="2457AE95" w:rsidR="005F53B2" w:rsidRPr="0072753B" w:rsidRDefault="005F53B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Urgent Action Fund </w:t>
            </w:r>
          </w:p>
          <w:p w14:paraId="4026AF2F" w14:textId="3A545C2D" w:rsidR="005F53B2" w:rsidRPr="0072753B" w:rsidRDefault="005F53B2" w:rsidP="0072753B">
            <w:pPr>
              <w:spacing w:before="24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lastRenderedPageBreak/>
              <w:t>Confidential Grant</w:t>
            </w:r>
          </w:p>
        </w:tc>
        <w:tc>
          <w:tcPr>
            <w:tcW w:w="0" w:type="dxa"/>
            <w:tcBorders>
              <w:top w:val="single" w:sz="4" w:space="0" w:color="auto"/>
              <w:bottom w:val="single" w:sz="4" w:space="0" w:color="auto"/>
            </w:tcBorders>
            <w:tcMar>
              <w:top w:w="85" w:type="dxa"/>
              <w:bottom w:w="85" w:type="dxa"/>
            </w:tcMar>
          </w:tcPr>
          <w:p w14:paraId="271B7D9C" w14:textId="1D241FF4"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lastRenderedPageBreak/>
              <w:t>Selfcare grant</w:t>
            </w:r>
          </w:p>
        </w:tc>
        <w:tc>
          <w:tcPr>
            <w:tcW w:w="0" w:type="dxa"/>
            <w:tcBorders>
              <w:top w:val="single" w:sz="4" w:space="0" w:color="auto"/>
              <w:bottom w:val="single" w:sz="4" w:space="0" w:color="auto"/>
            </w:tcBorders>
            <w:tcMar>
              <w:top w:w="85" w:type="dxa"/>
              <w:bottom w:w="85" w:type="dxa"/>
            </w:tcMar>
          </w:tcPr>
          <w:p w14:paraId="64AE93D9" w14:textId="49656F52"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0" w:type="dxa"/>
            <w:tcBorders>
              <w:top w:val="single" w:sz="4" w:space="0" w:color="auto"/>
              <w:bottom w:val="single" w:sz="4" w:space="0" w:color="auto"/>
            </w:tcBorders>
          </w:tcPr>
          <w:p w14:paraId="2035734A"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$6,426</w:t>
            </w:r>
          </w:p>
          <w:p w14:paraId="3D949A47"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6AE54B" w14:textId="08EF58B5"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2025</w:t>
            </w:r>
          </w:p>
        </w:tc>
        <w:tc>
          <w:tcPr>
            <w:tcW w:w="0" w:type="dxa"/>
            <w:tcBorders>
              <w:top w:val="single" w:sz="4" w:space="0" w:color="auto"/>
              <w:bottom w:val="single" w:sz="4" w:space="0" w:color="auto"/>
            </w:tcBorders>
          </w:tcPr>
          <w:p w14:paraId="0C10FDB9" w14:textId="737BA5B0"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lastRenderedPageBreak/>
              <w:t>Ongoing</w:t>
            </w:r>
          </w:p>
          <w:p w14:paraId="57EB3294"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tc>
      </w:tr>
      <w:tr w:rsidR="005F53B2" w:rsidRPr="0072753B" w14:paraId="2EDBDA93" w14:textId="77777777" w:rsidTr="005F53B2">
        <w:trPr>
          <w:trHeight w:val="386"/>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tcBorders>
            <w:tcMar>
              <w:top w:w="85" w:type="dxa"/>
              <w:bottom w:w="85" w:type="dxa"/>
            </w:tcMar>
          </w:tcPr>
          <w:p w14:paraId="29353E05" w14:textId="33A218A3"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12</w:t>
            </w:r>
          </w:p>
        </w:tc>
        <w:tc>
          <w:tcPr>
            <w:tcW w:w="2977" w:type="dxa"/>
            <w:tcBorders>
              <w:top w:val="single" w:sz="4" w:space="0" w:color="auto"/>
              <w:bottom w:val="single" w:sz="4" w:space="0" w:color="auto"/>
            </w:tcBorders>
            <w:tcMar>
              <w:top w:w="85" w:type="dxa"/>
              <w:bottom w:w="85" w:type="dxa"/>
            </w:tcMar>
          </w:tcPr>
          <w:p w14:paraId="0D583E8E"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Urgent Action Fund </w:t>
            </w:r>
          </w:p>
          <w:p w14:paraId="1DFF2466"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7A9902F4" w14:textId="7C3EB950"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Confidential Grant</w:t>
            </w:r>
          </w:p>
        </w:tc>
        <w:tc>
          <w:tcPr>
            <w:tcW w:w="4961" w:type="dxa"/>
            <w:tcBorders>
              <w:top w:val="single" w:sz="4" w:space="0" w:color="auto"/>
              <w:bottom w:val="single" w:sz="4" w:space="0" w:color="auto"/>
            </w:tcBorders>
            <w:tcMar>
              <w:top w:w="85" w:type="dxa"/>
              <w:bottom w:w="85" w:type="dxa"/>
            </w:tcMar>
          </w:tcPr>
          <w:p w14:paraId="5B13533C" w14:textId="4DD38C64"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color w:val="000000"/>
                <w:sz w:val="20"/>
                <w:szCs w:val="20"/>
              </w:rPr>
              <w:t>Selfcare grant</w:t>
            </w:r>
          </w:p>
        </w:tc>
        <w:tc>
          <w:tcPr>
            <w:tcW w:w="1843" w:type="dxa"/>
            <w:tcBorders>
              <w:top w:val="single" w:sz="4" w:space="0" w:color="auto"/>
              <w:bottom w:val="single" w:sz="4" w:space="0" w:color="auto"/>
            </w:tcBorders>
            <w:tcMar>
              <w:top w:w="85" w:type="dxa"/>
              <w:bottom w:w="85" w:type="dxa"/>
            </w:tcMar>
          </w:tcPr>
          <w:p w14:paraId="0F6D03BC" w14:textId="5B4A4A3B"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2268" w:type="dxa"/>
            <w:tcBorders>
              <w:top w:val="single" w:sz="4" w:space="0" w:color="auto"/>
              <w:bottom w:val="single" w:sz="4" w:space="0" w:color="auto"/>
            </w:tcBorders>
          </w:tcPr>
          <w:p w14:paraId="76DADB1D" w14:textId="70824730"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$4,437</w:t>
            </w:r>
          </w:p>
          <w:p w14:paraId="53F17F15" w14:textId="77777777"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434FC17" w14:textId="4514CBDD" w:rsidR="005F53B2" w:rsidRPr="0072753B" w:rsidRDefault="005F53B2"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2025</w:t>
            </w:r>
          </w:p>
        </w:tc>
        <w:tc>
          <w:tcPr>
            <w:tcW w:w="1684" w:type="dxa"/>
            <w:tcBorders>
              <w:top w:val="single" w:sz="4" w:space="0" w:color="auto"/>
              <w:bottom w:val="single" w:sz="4" w:space="0" w:color="auto"/>
            </w:tcBorders>
          </w:tcPr>
          <w:p w14:paraId="5FB7F26B" w14:textId="53239CA4" w:rsidR="005F53B2" w:rsidRPr="0072753B" w:rsidRDefault="005F53B2"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r w:rsidR="005F53B2" w:rsidRPr="0072753B" w14:paraId="73B7F038" w14:textId="77777777" w:rsidTr="00CA6E7B">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44A5EBA7" w14:textId="6D10900E" w:rsidR="005F53B2" w:rsidRPr="0072753B" w:rsidRDefault="005F53B2" w:rsidP="0072753B">
            <w:pPr>
              <w:pStyle w:val="BodyText"/>
              <w:rPr>
                <w:rFonts w:asciiTheme="majorHAnsi" w:hAnsiTheme="majorHAnsi" w:cstheme="majorHAnsi"/>
                <w:szCs w:val="20"/>
              </w:rPr>
            </w:pPr>
            <w:r w:rsidRPr="0072753B">
              <w:rPr>
                <w:rFonts w:asciiTheme="majorHAnsi" w:hAnsiTheme="majorHAnsi" w:cstheme="majorHAnsi"/>
                <w:szCs w:val="20"/>
              </w:rPr>
              <w:t>13</w:t>
            </w:r>
          </w:p>
        </w:tc>
        <w:tc>
          <w:tcPr>
            <w:tcW w:w="0" w:type="dxa"/>
            <w:tcBorders>
              <w:top w:val="single" w:sz="4" w:space="0" w:color="auto"/>
            </w:tcBorders>
            <w:tcMar>
              <w:top w:w="85" w:type="dxa"/>
              <w:bottom w:w="85" w:type="dxa"/>
            </w:tcMar>
          </w:tcPr>
          <w:p w14:paraId="167C6018"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Urgent Action Fund </w:t>
            </w:r>
          </w:p>
          <w:p w14:paraId="524CDCDB"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2C4E2ECD" w14:textId="37536CA9"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Confidential Grant</w:t>
            </w:r>
          </w:p>
        </w:tc>
        <w:tc>
          <w:tcPr>
            <w:tcW w:w="0" w:type="dxa"/>
            <w:tcBorders>
              <w:top w:val="single" w:sz="4" w:space="0" w:color="auto"/>
            </w:tcBorders>
            <w:tcMar>
              <w:top w:w="85" w:type="dxa"/>
              <w:bottom w:w="85" w:type="dxa"/>
            </w:tcMar>
          </w:tcPr>
          <w:p w14:paraId="4E662CBD" w14:textId="6E075FB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color w:val="000000"/>
                <w:sz w:val="20"/>
                <w:szCs w:val="20"/>
              </w:rPr>
              <w:t>Selfcare grant</w:t>
            </w:r>
          </w:p>
        </w:tc>
        <w:tc>
          <w:tcPr>
            <w:tcW w:w="1843" w:type="dxa"/>
            <w:tcBorders>
              <w:top w:val="single" w:sz="4" w:space="0" w:color="auto"/>
            </w:tcBorders>
            <w:tcMar>
              <w:top w:w="85" w:type="dxa"/>
              <w:bottom w:w="85" w:type="dxa"/>
            </w:tcMar>
          </w:tcPr>
          <w:p w14:paraId="40CF2654" w14:textId="40CB5D84"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Regional</w:t>
            </w:r>
          </w:p>
        </w:tc>
        <w:tc>
          <w:tcPr>
            <w:tcW w:w="2268" w:type="dxa"/>
            <w:tcBorders>
              <w:top w:val="single" w:sz="4" w:space="0" w:color="auto"/>
            </w:tcBorders>
          </w:tcPr>
          <w:p w14:paraId="77671137" w14:textId="319DAD55"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$5,202</w:t>
            </w:r>
          </w:p>
          <w:p w14:paraId="480C529B" w14:textId="77777777"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FE2BEC" w14:textId="1BC9E63E" w:rsidR="005F53B2" w:rsidRPr="0072753B" w:rsidRDefault="005F53B2"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2025</w:t>
            </w:r>
          </w:p>
        </w:tc>
        <w:tc>
          <w:tcPr>
            <w:tcW w:w="1684" w:type="dxa"/>
            <w:tcBorders>
              <w:top w:val="single" w:sz="4" w:space="0" w:color="auto"/>
            </w:tcBorders>
          </w:tcPr>
          <w:p w14:paraId="62E7DA8B" w14:textId="23252F21" w:rsidR="005F53B2" w:rsidRPr="0072753B" w:rsidRDefault="005F53B2"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bl>
    <w:p w14:paraId="2ECCF0EB" w14:textId="77777777" w:rsidR="007D2448" w:rsidRPr="0072753B" w:rsidRDefault="007D2448" w:rsidP="0072753B">
      <w:pPr>
        <w:pStyle w:val="Heading3"/>
        <w:rPr>
          <w:rFonts w:asciiTheme="majorHAnsi" w:hAnsiTheme="majorHAnsi"/>
          <w:sz w:val="24"/>
          <w:szCs w:val="24"/>
          <w:lang w:val="en-AU"/>
        </w:rPr>
      </w:pPr>
      <w:bookmarkStart w:id="29" w:name="_Toc207912571"/>
      <w:bookmarkStart w:id="30" w:name="_Toc208777787"/>
      <w:r w:rsidRPr="0072753B">
        <w:rPr>
          <w:rFonts w:asciiTheme="majorHAnsi" w:hAnsiTheme="majorHAnsi"/>
          <w:sz w:val="24"/>
          <w:szCs w:val="24"/>
          <w:lang w:val="en-AU"/>
        </w:rPr>
        <w:t>Pacific Feminist Fund</w:t>
      </w:r>
      <w:bookmarkEnd w:id="29"/>
      <w:bookmarkEnd w:id="30"/>
    </w:p>
    <w:p w14:paraId="2842828E" w14:textId="3C6049C0" w:rsidR="00D20AE6" w:rsidRPr="0072753B" w:rsidRDefault="006C37FC" w:rsidP="0072753B">
      <w:pPr>
        <w:spacing w:after="360" w:line="276" w:lineRule="auto"/>
        <w:jc w:val="left"/>
        <w:rPr>
          <w:rFonts w:asciiTheme="majorHAnsi" w:hAnsiTheme="majorHAnsi" w:cstheme="majorHAnsi"/>
          <w:sz w:val="20"/>
          <w:szCs w:val="20"/>
        </w:rPr>
      </w:pPr>
      <w:r w:rsidRPr="0072753B">
        <w:rPr>
          <w:rFonts w:asciiTheme="majorHAnsi" w:hAnsiTheme="majorHAnsi" w:cstheme="majorHAnsi"/>
          <w:sz w:val="20"/>
          <w:szCs w:val="20"/>
        </w:rPr>
        <w:t xml:space="preserve">The Pacific Feminist </w:t>
      </w:r>
      <w:r w:rsidR="00274469" w:rsidRPr="0072753B">
        <w:rPr>
          <w:rFonts w:asciiTheme="majorHAnsi" w:hAnsiTheme="majorHAnsi" w:cstheme="majorHAnsi"/>
          <w:sz w:val="20"/>
          <w:szCs w:val="20"/>
        </w:rPr>
        <w:t>Fund</w:t>
      </w:r>
      <w:r w:rsidRPr="0072753B">
        <w:rPr>
          <w:rFonts w:asciiTheme="majorHAnsi" w:hAnsiTheme="majorHAnsi" w:cstheme="majorHAnsi"/>
          <w:sz w:val="20"/>
          <w:szCs w:val="20"/>
        </w:rPr>
        <w:t xml:space="preserve"> funds </w:t>
      </w:r>
      <w:r w:rsidR="00274469" w:rsidRPr="0072753B">
        <w:rPr>
          <w:rFonts w:asciiTheme="majorHAnsi" w:hAnsiTheme="majorHAnsi" w:cstheme="majorHAnsi"/>
          <w:sz w:val="20"/>
          <w:szCs w:val="20"/>
        </w:rPr>
        <w:t>7</w:t>
      </w:r>
      <w:r w:rsidRPr="0072753B">
        <w:rPr>
          <w:rFonts w:asciiTheme="majorHAnsi" w:hAnsiTheme="majorHAnsi" w:cstheme="majorHAnsi"/>
          <w:sz w:val="20"/>
          <w:szCs w:val="20"/>
        </w:rPr>
        <w:t xml:space="preserve"> projects</w:t>
      </w:r>
      <w:r w:rsidRPr="0072753B">
        <w:rPr>
          <w:rStyle w:val="FootnoteReference"/>
          <w:rFonts w:asciiTheme="majorHAnsi" w:hAnsiTheme="majorHAnsi" w:cstheme="majorHAnsi"/>
          <w:sz w:val="20"/>
          <w:szCs w:val="20"/>
        </w:rPr>
        <w:footnoteReference w:id="8"/>
      </w:r>
      <w:r w:rsidRPr="0072753B">
        <w:rPr>
          <w:rFonts w:asciiTheme="majorHAnsi" w:hAnsiTheme="majorHAnsi" w:cstheme="majorHAnsi"/>
          <w:sz w:val="20"/>
          <w:szCs w:val="20"/>
        </w:rPr>
        <w:t xml:space="preserve">. Of these, </w:t>
      </w:r>
      <w:r w:rsidR="00274469" w:rsidRPr="0072753B">
        <w:rPr>
          <w:rFonts w:asciiTheme="majorHAnsi" w:hAnsiTheme="majorHAnsi" w:cstheme="majorHAnsi"/>
          <w:sz w:val="20"/>
          <w:szCs w:val="20"/>
        </w:rPr>
        <w:t>5</w:t>
      </w:r>
      <w:r w:rsidRPr="0072753B">
        <w:rPr>
          <w:rFonts w:asciiTheme="majorHAnsi" w:hAnsiTheme="majorHAnsi" w:cstheme="majorHAnsi"/>
          <w:sz w:val="20"/>
          <w:szCs w:val="20"/>
        </w:rPr>
        <w:t xml:space="preserve"> are ongoing and </w:t>
      </w:r>
      <w:r w:rsidR="00274469" w:rsidRPr="0072753B">
        <w:rPr>
          <w:rFonts w:asciiTheme="majorHAnsi" w:hAnsiTheme="majorHAnsi" w:cstheme="majorHAnsi"/>
          <w:sz w:val="20"/>
          <w:szCs w:val="20"/>
        </w:rPr>
        <w:t>2</w:t>
      </w:r>
      <w:r w:rsidRPr="0072753B">
        <w:rPr>
          <w:rFonts w:asciiTheme="majorHAnsi" w:hAnsiTheme="majorHAnsi" w:cstheme="majorHAnsi"/>
          <w:sz w:val="20"/>
          <w:szCs w:val="20"/>
        </w:rPr>
        <w:t xml:space="preserve"> are completed. </w:t>
      </w:r>
    </w:p>
    <w:p w14:paraId="051D4885" w14:textId="6CAD9B72" w:rsidR="0091684C" w:rsidRPr="0072753B" w:rsidRDefault="0091684C" w:rsidP="0072753B">
      <w:pPr>
        <w:spacing w:after="0"/>
        <w:jc w:val="left"/>
        <w:rPr>
          <w:rFonts w:asciiTheme="majorHAnsi" w:hAnsiTheme="majorHAnsi" w:cstheme="majorHAnsi"/>
          <w:b/>
          <w:bCs/>
          <w:sz w:val="20"/>
          <w:szCs w:val="20"/>
        </w:rPr>
      </w:pPr>
      <w:r w:rsidRPr="0072753B">
        <w:rPr>
          <w:rFonts w:asciiTheme="majorHAnsi" w:hAnsiTheme="majorHAnsi" w:cstheme="majorHAnsi"/>
          <w:b/>
          <w:bCs/>
          <w:sz w:val="20"/>
          <w:szCs w:val="20"/>
        </w:rPr>
        <w:t xml:space="preserve">Table </w:t>
      </w:r>
      <w:r w:rsidR="007D2448" w:rsidRPr="0072753B">
        <w:rPr>
          <w:rFonts w:asciiTheme="majorHAnsi" w:hAnsiTheme="majorHAnsi" w:cstheme="majorHAnsi"/>
          <w:b/>
          <w:bCs/>
          <w:sz w:val="20"/>
          <w:szCs w:val="20"/>
        </w:rPr>
        <w:t>6</w:t>
      </w:r>
      <w:r w:rsidRPr="0072753B">
        <w:rPr>
          <w:rFonts w:asciiTheme="majorHAnsi" w:hAnsiTheme="majorHAnsi" w:cstheme="majorHAnsi"/>
          <w:b/>
          <w:bCs/>
          <w:sz w:val="20"/>
          <w:szCs w:val="20"/>
        </w:rPr>
        <w:t xml:space="preserve">: </w:t>
      </w:r>
      <w:r w:rsidR="007D2448" w:rsidRPr="0072753B">
        <w:rPr>
          <w:rFonts w:asciiTheme="majorHAnsi" w:hAnsiTheme="majorHAnsi" w:cstheme="majorHAnsi"/>
          <w:b/>
          <w:bCs/>
          <w:sz w:val="20"/>
          <w:szCs w:val="20"/>
        </w:rPr>
        <w:t>Pacific Feminist Fund</w:t>
      </w:r>
      <w:r w:rsidR="0054683B" w:rsidRPr="0072753B">
        <w:rPr>
          <w:rFonts w:asciiTheme="majorHAnsi" w:hAnsiTheme="majorHAnsi" w:cstheme="majorHAnsi"/>
          <w:b/>
          <w:bCs/>
          <w:sz w:val="20"/>
          <w:szCs w:val="20"/>
        </w:rPr>
        <w:t xml:space="preserve"> as of 31 August 2025</w:t>
      </w:r>
    </w:p>
    <w:p w14:paraId="47549829" w14:textId="77777777" w:rsidR="00274469" w:rsidRPr="0072753B" w:rsidRDefault="00274469" w:rsidP="0072753B">
      <w:pPr>
        <w:spacing w:after="0"/>
        <w:jc w:val="left"/>
        <w:rPr>
          <w:rFonts w:asciiTheme="majorHAnsi" w:hAnsiTheme="majorHAnsi" w:cstheme="majorHAnsi"/>
          <w:b/>
          <w:bCs/>
          <w:sz w:val="20"/>
          <w:szCs w:val="20"/>
        </w:rPr>
      </w:pPr>
    </w:p>
    <w:tbl>
      <w:tblPr>
        <w:tblStyle w:val="PlainTable2"/>
        <w:tblW w:w="14295" w:type="dxa"/>
        <w:tblInd w:w="5"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661"/>
        <w:gridCol w:w="4219"/>
        <w:gridCol w:w="4870"/>
        <w:gridCol w:w="1913"/>
        <w:gridCol w:w="1438"/>
        <w:gridCol w:w="1194"/>
      </w:tblGrid>
      <w:tr w:rsidR="00FC5D25" w:rsidRPr="0072753B" w14:paraId="0930457F" w14:textId="77777777" w:rsidTr="00F05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006699"/>
            <w:tcMar>
              <w:top w:w="85" w:type="dxa"/>
              <w:bottom w:w="85" w:type="dxa"/>
            </w:tcMar>
            <w:vAlign w:val="center"/>
          </w:tcPr>
          <w:p w14:paraId="4F73BC01" w14:textId="77777777" w:rsidR="0091684C" w:rsidRPr="0072753B" w:rsidRDefault="0091684C" w:rsidP="0072753B">
            <w:pPr>
              <w:pStyle w:val="BodyText"/>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No.</w:t>
            </w:r>
          </w:p>
        </w:tc>
        <w:tc>
          <w:tcPr>
            <w:tcW w:w="3439" w:type="dxa"/>
            <w:tcBorders>
              <w:bottom w:val="single" w:sz="4" w:space="0" w:color="auto"/>
            </w:tcBorders>
            <w:shd w:val="clear" w:color="auto" w:fill="006699"/>
            <w:tcMar>
              <w:top w:w="85" w:type="dxa"/>
              <w:bottom w:w="85" w:type="dxa"/>
            </w:tcMar>
            <w:vAlign w:val="center"/>
          </w:tcPr>
          <w:p w14:paraId="26005A37" w14:textId="77777777" w:rsidR="0091684C" w:rsidRPr="0072753B" w:rsidRDefault="0091684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Project name and partner</w:t>
            </w:r>
          </w:p>
        </w:tc>
        <w:tc>
          <w:tcPr>
            <w:tcW w:w="3969" w:type="dxa"/>
            <w:tcBorders>
              <w:bottom w:val="single" w:sz="4" w:space="0" w:color="auto"/>
            </w:tcBorders>
            <w:shd w:val="clear" w:color="auto" w:fill="006699"/>
            <w:tcMar>
              <w:top w:w="85" w:type="dxa"/>
              <w:bottom w:w="85" w:type="dxa"/>
            </w:tcMar>
            <w:vAlign w:val="center"/>
          </w:tcPr>
          <w:p w14:paraId="7691C060" w14:textId="77777777" w:rsidR="0091684C" w:rsidRPr="0072753B" w:rsidRDefault="0091684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Cs w:val="20"/>
              </w:rPr>
            </w:pPr>
            <w:r w:rsidRPr="0072753B">
              <w:rPr>
                <w:rFonts w:asciiTheme="majorHAnsi" w:hAnsiTheme="majorHAnsi" w:cstheme="majorHAnsi"/>
                <w:color w:val="FFFFFF" w:themeColor="background1"/>
                <w:szCs w:val="20"/>
              </w:rPr>
              <w:t>Project description</w:t>
            </w:r>
          </w:p>
        </w:tc>
        <w:tc>
          <w:tcPr>
            <w:tcW w:w="1559" w:type="dxa"/>
            <w:tcBorders>
              <w:bottom w:val="single" w:sz="4" w:space="0" w:color="auto"/>
            </w:tcBorders>
            <w:shd w:val="clear" w:color="auto" w:fill="006699"/>
            <w:tcMar>
              <w:top w:w="85" w:type="dxa"/>
              <w:bottom w:w="85" w:type="dxa"/>
            </w:tcMar>
            <w:vAlign w:val="center"/>
          </w:tcPr>
          <w:p w14:paraId="508E1F41" w14:textId="22E7DDC8" w:rsidR="0091684C" w:rsidRPr="0072753B" w:rsidRDefault="00725CC7"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Country</w:t>
            </w:r>
          </w:p>
        </w:tc>
        <w:tc>
          <w:tcPr>
            <w:tcW w:w="0" w:type="dxa"/>
            <w:tcBorders>
              <w:bottom w:val="single" w:sz="4" w:space="0" w:color="auto"/>
            </w:tcBorders>
            <w:shd w:val="clear" w:color="auto" w:fill="006699"/>
          </w:tcPr>
          <w:p w14:paraId="7751EE88" w14:textId="77777777" w:rsidR="0091684C" w:rsidRPr="0072753B" w:rsidRDefault="0091684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Value (AUD) / timeframe</w:t>
            </w:r>
          </w:p>
        </w:tc>
        <w:tc>
          <w:tcPr>
            <w:tcW w:w="0" w:type="dxa"/>
            <w:tcBorders>
              <w:bottom w:val="single" w:sz="4" w:space="0" w:color="auto"/>
            </w:tcBorders>
            <w:shd w:val="clear" w:color="auto" w:fill="006699"/>
          </w:tcPr>
          <w:p w14:paraId="1D38C328" w14:textId="77777777" w:rsidR="0091684C" w:rsidRPr="0072753B" w:rsidRDefault="0091684C" w:rsidP="0072753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 xml:space="preserve">Project status </w:t>
            </w:r>
          </w:p>
        </w:tc>
      </w:tr>
      <w:tr w:rsidR="00F05E87" w:rsidRPr="0072753B" w14:paraId="679E41B9" w14:textId="77777777" w:rsidTr="00CA6E7B">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0EF6D5F4" w14:textId="77777777" w:rsidR="0091684C" w:rsidRPr="0072753B" w:rsidRDefault="0091684C" w:rsidP="0072753B">
            <w:pPr>
              <w:pStyle w:val="BodyText"/>
              <w:rPr>
                <w:rFonts w:asciiTheme="majorHAnsi" w:hAnsiTheme="majorHAnsi" w:cstheme="majorHAnsi"/>
                <w:szCs w:val="20"/>
              </w:rPr>
            </w:pPr>
            <w:r w:rsidRPr="0072753B">
              <w:rPr>
                <w:rFonts w:asciiTheme="majorHAnsi" w:hAnsiTheme="majorHAnsi" w:cstheme="majorHAnsi"/>
                <w:szCs w:val="20"/>
              </w:rPr>
              <w:t>1</w:t>
            </w:r>
          </w:p>
        </w:tc>
        <w:tc>
          <w:tcPr>
            <w:tcW w:w="3439" w:type="dxa"/>
            <w:tcBorders>
              <w:top w:val="single" w:sz="4" w:space="0" w:color="auto"/>
            </w:tcBorders>
            <w:tcMar>
              <w:top w:w="85" w:type="dxa"/>
              <w:bottom w:w="85" w:type="dxa"/>
            </w:tcMar>
          </w:tcPr>
          <w:p w14:paraId="2E7A9E13" w14:textId="4660CC60" w:rsidR="0091684C" w:rsidRPr="0072753B" w:rsidRDefault="00DF3817"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Amplify-Invest-Reach (AIR) Partnership - Pacific Feminist Fund</w:t>
            </w:r>
          </w:p>
        </w:tc>
        <w:tc>
          <w:tcPr>
            <w:tcW w:w="3969" w:type="dxa"/>
            <w:tcBorders>
              <w:top w:val="single" w:sz="4" w:space="0" w:color="auto"/>
            </w:tcBorders>
            <w:tcMar>
              <w:top w:w="85" w:type="dxa"/>
              <w:bottom w:w="85" w:type="dxa"/>
            </w:tcMar>
          </w:tcPr>
          <w:p w14:paraId="298E75B5" w14:textId="3C6A914C" w:rsidR="0091684C" w:rsidRPr="0072753B" w:rsidRDefault="0091684C"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The grant supports the PFF Charitable Trust Board for the inception phase of the PFF. PFF will provide grant to diverse Pacific women, girls and people of gender non-conforming Pacific identities and to </w:t>
            </w:r>
            <w:r w:rsidRPr="0072753B">
              <w:rPr>
                <w:rFonts w:asciiTheme="majorHAnsi" w:hAnsiTheme="majorHAnsi" w:cstheme="majorHAnsi"/>
                <w:szCs w:val="20"/>
              </w:rPr>
              <w:lastRenderedPageBreak/>
              <w:t>advance their human rights and gender equality in a time of climate crisis.</w:t>
            </w:r>
            <w:r w:rsidRPr="0072753B">
              <w:rPr>
                <w:rFonts w:asciiTheme="majorHAnsi" w:hAnsiTheme="majorHAnsi" w:cstheme="majorHAnsi"/>
                <w:szCs w:val="20"/>
              </w:rPr>
              <w:tab/>
            </w:r>
          </w:p>
        </w:tc>
        <w:tc>
          <w:tcPr>
            <w:tcW w:w="0" w:type="dxa"/>
            <w:tcBorders>
              <w:top w:val="single" w:sz="4" w:space="0" w:color="auto"/>
            </w:tcBorders>
            <w:tcMar>
              <w:top w:w="85" w:type="dxa"/>
              <w:bottom w:w="85" w:type="dxa"/>
            </w:tcMar>
          </w:tcPr>
          <w:p w14:paraId="59467220" w14:textId="59623C0D" w:rsidR="0091684C" w:rsidRPr="0072753B" w:rsidRDefault="0091684C"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lastRenderedPageBreak/>
              <w:t>All Pacific Islands countries</w:t>
            </w:r>
          </w:p>
        </w:tc>
        <w:tc>
          <w:tcPr>
            <w:tcW w:w="0" w:type="dxa"/>
            <w:tcBorders>
              <w:top w:val="single" w:sz="4" w:space="0" w:color="auto"/>
            </w:tcBorders>
          </w:tcPr>
          <w:p w14:paraId="7FF03860" w14:textId="21DAB24D" w:rsidR="0091684C" w:rsidRPr="0072753B" w:rsidRDefault="0091684C"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0"/>
              </w:rPr>
            </w:pPr>
            <w:r w:rsidRPr="0072753B">
              <w:rPr>
                <w:rFonts w:asciiTheme="majorHAnsi" w:hAnsiTheme="majorHAnsi" w:cstheme="majorHAnsi"/>
                <w:szCs w:val="20"/>
              </w:rPr>
              <w:t>$</w:t>
            </w:r>
            <w:r w:rsidRPr="0072753B">
              <w:rPr>
                <w:rFonts w:asciiTheme="majorHAnsi" w:hAnsiTheme="majorHAnsi" w:cstheme="majorHAnsi"/>
                <w:color w:val="000000"/>
                <w:szCs w:val="20"/>
              </w:rPr>
              <w:t>639,474</w:t>
            </w:r>
          </w:p>
          <w:p w14:paraId="28FE850C" w14:textId="77777777" w:rsidR="00E46CFF" w:rsidRPr="0072753B" w:rsidRDefault="00E46CFF"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0"/>
              </w:rPr>
            </w:pPr>
          </w:p>
          <w:p w14:paraId="5AECF9A8" w14:textId="3DAFC44B" w:rsidR="0091684C" w:rsidRPr="0072753B" w:rsidRDefault="0091684C"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2023 - 2026</w:t>
            </w:r>
          </w:p>
        </w:tc>
        <w:tc>
          <w:tcPr>
            <w:tcW w:w="0" w:type="dxa"/>
            <w:tcBorders>
              <w:top w:val="single" w:sz="4" w:space="0" w:color="auto"/>
            </w:tcBorders>
          </w:tcPr>
          <w:p w14:paraId="50327C18" w14:textId="75B2D3DE" w:rsidR="0091684C" w:rsidRPr="0072753B" w:rsidRDefault="0091684C" w:rsidP="0072753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bl>
    <w:p w14:paraId="4CB991E0" w14:textId="77777777" w:rsidR="00CF71DB" w:rsidRPr="0072753B" w:rsidRDefault="00CF71DB" w:rsidP="0072753B">
      <w:pPr>
        <w:spacing w:line="276" w:lineRule="auto"/>
        <w:jc w:val="left"/>
        <w:rPr>
          <w:rFonts w:asciiTheme="majorHAnsi" w:hAnsiTheme="majorHAnsi" w:cstheme="majorHAnsi"/>
          <w:b/>
          <w:iCs/>
          <w:sz w:val="20"/>
          <w:szCs w:val="20"/>
        </w:rPr>
      </w:pPr>
    </w:p>
    <w:p w14:paraId="6C4D6E8F" w14:textId="11A7DE72" w:rsidR="0091684C" w:rsidRPr="0072753B" w:rsidRDefault="0091684C" w:rsidP="0072753B">
      <w:pPr>
        <w:spacing w:line="276" w:lineRule="auto"/>
        <w:jc w:val="left"/>
        <w:rPr>
          <w:rFonts w:asciiTheme="majorHAnsi" w:hAnsiTheme="majorHAnsi" w:cstheme="majorHAnsi"/>
          <w:b/>
          <w:iCs/>
          <w:sz w:val="20"/>
          <w:szCs w:val="20"/>
        </w:rPr>
      </w:pPr>
      <w:r w:rsidRPr="0072753B">
        <w:rPr>
          <w:rFonts w:asciiTheme="majorHAnsi" w:hAnsiTheme="majorHAnsi" w:cstheme="majorHAnsi"/>
          <w:b/>
          <w:iCs/>
          <w:sz w:val="20"/>
          <w:szCs w:val="20"/>
        </w:rPr>
        <w:t xml:space="preserve">Table </w:t>
      </w:r>
      <w:r w:rsidR="0054683B" w:rsidRPr="0072753B">
        <w:rPr>
          <w:rFonts w:asciiTheme="majorHAnsi" w:hAnsiTheme="majorHAnsi" w:cstheme="majorHAnsi"/>
          <w:b/>
          <w:iCs/>
          <w:sz w:val="20"/>
          <w:szCs w:val="20"/>
        </w:rPr>
        <w:t xml:space="preserve">6.1: </w:t>
      </w:r>
      <w:r w:rsidR="0054683B" w:rsidRPr="0072753B">
        <w:rPr>
          <w:rFonts w:asciiTheme="majorHAnsi" w:hAnsiTheme="majorHAnsi" w:cstheme="majorHAnsi"/>
          <w:b/>
          <w:sz w:val="20"/>
          <w:szCs w:val="20"/>
        </w:rPr>
        <w:t xml:space="preserve">Pacific Feminist Fund </w:t>
      </w:r>
      <w:r w:rsidR="00DE1A18" w:rsidRPr="0072753B">
        <w:rPr>
          <w:rFonts w:asciiTheme="majorHAnsi" w:hAnsiTheme="majorHAnsi" w:cstheme="majorHAnsi"/>
          <w:b/>
          <w:sz w:val="20"/>
          <w:szCs w:val="20"/>
        </w:rPr>
        <w:t>d</w:t>
      </w:r>
      <w:r w:rsidR="0054683B" w:rsidRPr="0072753B">
        <w:rPr>
          <w:rFonts w:asciiTheme="majorHAnsi" w:hAnsiTheme="majorHAnsi" w:cstheme="majorHAnsi"/>
          <w:b/>
          <w:sz w:val="20"/>
          <w:szCs w:val="20"/>
        </w:rPr>
        <w:t>own</w:t>
      </w:r>
      <w:r w:rsidR="0092037C" w:rsidRPr="0072753B">
        <w:rPr>
          <w:rFonts w:asciiTheme="majorHAnsi" w:hAnsiTheme="majorHAnsi" w:cstheme="majorHAnsi"/>
          <w:b/>
          <w:sz w:val="20"/>
          <w:szCs w:val="20"/>
        </w:rPr>
        <w:t xml:space="preserve">stream </w:t>
      </w:r>
      <w:r w:rsidR="00B23127" w:rsidRPr="0072753B">
        <w:rPr>
          <w:rFonts w:asciiTheme="majorHAnsi" w:hAnsiTheme="majorHAnsi" w:cstheme="majorHAnsi"/>
          <w:b/>
          <w:sz w:val="20"/>
          <w:szCs w:val="20"/>
        </w:rPr>
        <w:t>grants</w:t>
      </w:r>
    </w:p>
    <w:tbl>
      <w:tblPr>
        <w:tblStyle w:val="PlainTable2"/>
        <w:tblW w:w="14307" w:type="dxa"/>
        <w:tblInd w:w="5"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4"/>
        <w:gridCol w:w="3649"/>
        <w:gridCol w:w="3827"/>
        <w:gridCol w:w="1843"/>
        <w:gridCol w:w="2091"/>
        <w:gridCol w:w="1873"/>
      </w:tblGrid>
      <w:tr w:rsidR="00CA6E7B" w:rsidRPr="0072753B" w14:paraId="127A8073" w14:textId="77777777" w:rsidTr="00CA6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dxa"/>
            <w:tcBorders>
              <w:bottom w:val="single" w:sz="4" w:space="0" w:color="auto"/>
            </w:tcBorders>
            <w:shd w:val="clear" w:color="auto" w:fill="006699"/>
            <w:vAlign w:val="center"/>
          </w:tcPr>
          <w:p w14:paraId="719767F8"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color w:val="FFFFFF" w:themeColor="background1"/>
                <w:sz w:val="20"/>
                <w:szCs w:val="20"/>
              </w:rPr>
              <w:t>No.</w:t>
            </w:r>
          </w:p>
        </w:tc>
        <w:tc>
          <w:tcPr>
            <w:tcW w:w="3649" w:type="dxa"/>
            <w:tcBorders>
              <w:bottom w:val="single" w:sz="4" w:space="0" w:color="auto"/>
            </w:tcBorders>
            <w:shd w:val="clear" w:color="auto" w:fill="006699"/>
            <w:vAlign w:val="center"/>
          </w:tcPr>
          <w:p w14:paraId="587C9765" w14:textId="77777777" w:rsidR="0079010B" w:rsidRPr="0072753B" w:rsidRDefault="0079010B"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color w:val="FFFFFF" w:themeColor="background1"/>
                <w:sz w:val="20"/>
                <w:szCs w:val="20"/>
              </w:rPr>
              <w:t>Project name and partner</w:t>
            </w:r>
          </w:p>
        </w:tc>
        <w:tc>
          <w:tcPr>
            <w:tcW w:w="3827" w:type="dxa"/>
            <w:tcBorders>
              <w:bottom w:val="single" w:sz="4" w:space="0" w:color="auto"/>
            </w:tcBorders>
            <w:shd w:val="clear" w:color="auto" w:fill="006699"/>
            <w:vAlign w:val="center"/>
          </w:tcPr>
          <w:p w14:paraId="3EC8D2BC" w14:textId="77777777" w:rsidR="0079010B" w:rsidRPr="0072753B" w:rsidRDefault="0079010B"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color w:val="FFFFFF" w:themeColor="background1"/>
                <w:sz w:val="20"/>
                <w:szCs w:val="20"/>
              </w:rPr>
              <w:t>Project description</w:t>
            </w:r>
          </w:p>
        </w:tc>
        <w:tc>
          <w:tcPr>
            <w:tcW w:w="1843" w:type="dxa"/>
            <w:tcBorders>
              <w:bottom w:val="single" w:sz="4" w:space="0" w:color="auto"/>
            </w:tcBorders>
            <w:shd w:val="clear" w:color="auto" w:fill="006699"/>
          </w:tcPr>
          <w:p w14:paraId="2122EC4D" w14:textId="53F8F10A" w:rsidR="0079010B" w:rsidRPr="0072753B" w:rsidRDefault="00BB628E"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Country</w:t>
            </w:r>
          </w:p>
        </w:tc>
        <w:tc>
          <w:tcPr>
            <w:tcW w:w="2091" w:type="dxa"/>
            <w:tcBorders>
              <w:bottom w:val="single" w:sz="4" w:space="0" w:color="auto"/>
            </w:tcBorders>
            <w:shd w:val="clear" w:color="auto" w:fill="006699"/>
            <w:vAlign w:val="center"/>
          </w:tcPr>
          <w:p w14:paraId="3949565B" w14:textId="1DAD6C5D" w:rsidR="0079010B" w:rsidRPr="0072753B" w:rsidRDefault="0079010B"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color w:val="FFFFFF" w:themeColor="background1"/>
                <w:sz w:val="20"/>
                <w:szCs w:val="20"/>
              </w:rPr>
              <w:t>Value (AUD) / timeframe</w:t>
            </w:r>
          </w:p>
        </w:tc>
        <w:tc>
          <w:tcPr>
            <w:tcW w:w="1873" w:type="dxa"/>
            <w:tcBorders>
              <w:bottom w:val="single" w:sz="4" w:space="0" w:color="auto"/>
            </w:tcBorders>
            <w:shd w:val="clear" w:color="auto" w:fill="006699"/>
          </w:tcPr>
          <w:p w14:paraId="4D82B5A7" w14:textId="77777777" w:rsidR="0079010B" w:rsidRPr="0072753B" w:rsidRDefault="0079010B"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Project status</w:t>
            </w:r>
          </w:p>
        </w:tc>
      </w:tr>
      <w:tr w:rsidR="00F05E87" w:rsidRPr="0072753B" w14:paraId="75B999D4"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auto"/>
              <w:bottom w:val="single" w:sz="4" w:space="0" w:color="000000"/>
            </w:tcBorders>
          </w:tcPr>
          <w:p w14:paraId="7DCE251C"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w:t>
            </w:r>
          </w:p>
        </w:tc>
        <w:tc>
          <w:tcPr>
            <w:tcW w:w="3649" w:type="dxa"/>
            <w:tcBorders>
              <w:top w:val="single" w:sz="4" w:space="0" w:color="auto"/>
              <w:bottom w:val="single" w:sz="4" w:space="0" w:color="000000"/>
            </w:tcBorders>
          </w:tcPr>
          <w:p w14:paraId="6872A3E6"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CSW 69</w:t>
            </w:r>
            <w:r w:rsidRPr="0072753B">
              <w:rPr>
                <w:rFonts w:asciiTheme="majorHAnsi" w:hAnsiTheme="majorHAnsi" w:cstheme="majorHAnsi"/>
                <w:sz w:val="20"/>
                <w:szCs w:val="20"/>
                <w:vertAlign w:val="superscript"/>
              </w:rPr>
              <w:t>th</w:t>
            </w:r>
            <w:r w:rsidRPr="0072753B">
              <w:rPr>
                <w:rFonts w:asciiTheme="majorHAnsi" w:hAnsiTheme="majorHAnsi" w:cstheme="majorHAnsi"/>
                <w:sz w:val="20"/>
                <w:szCs w:val="20"/>
              </w:rPr>
              <w:t xml:space="preserve"> Session Engagement Support</w:t>
            </w:r>
          </w:p>
          <w:p w14:paraId="11068ACB"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07583A"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(Diverse Voices and Action (DIVA) for Equality)</w:t>
            </w:r>
          </w:p>
        </w:tc>
        <w:tc>
          <w:tcPr>
            <w:tcW w:w="3827" w:type="dxa"/>
            <w:tcBorders>
              <w:top w:val="single" w:sz="4" w:space="0" w:color="auto"/>
              <w:bottom w:val="single" w:sz="4" w:space="0" w:color="000000"/>
            </w:tcBorders>
          </w:tcPr>
          <w:p w14:paraId="0BD071AE" w14:textId="700D6F90"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w:t>
            </w:r>
            <w:r w:rsidR="000B226B" w:rsidRPr="0072753B">
              <w:rPr>
                <w:rFonts w:asciiTheme="majorHAnsi" w:hAnsiTheme="majorHAnsi" w:cstheme="majorHAnsi"/>
                <w:sz w:val="20"/>
                <w:szCs w:val="20"/>
              </w:rPr>
              <w:t xml:space="preserve">grant </w:t>
            </w:r>
            <w:r w:rsidRPr="0072753B">
              <w:rPr>
                <w:rFonts w:asciiTheme="majorHAnsi" w:hAnsiTheme="majorHAnsi" w:cstheme="majorHAnsi"/>
                <w:sz w:val="20"/>
                <w:szCs w:val="20"/>
              </w:rPr>
              <w:t>support</w:t>
            </w:r>
            <w:r w:rsidR="000B226B" w:rsidRPr="0072753B">
              <w:rPr>
                <w:rFonts w:asciiTheme="majorHAnsi" w:hAnsiTheme="majorHAnsi" w:cstheme="majorHAnsi"/>
                <w:sz w:val="20"/>
                <w:szCs w:val="20"/>
              </w:rPr>
              <w:t>s</w:t>
            </w:r>
            <w:r w:rsidRPr="0072753B">
              <w:rPr>
                <w:rFonts w:asciiTheme="majorHAnsi" w:hAnsiTheme="majorHAnsi" w:cstheme="majorHAnsi"/>
                <w:sz w:val="20"/>
                <w:szCs w:val="20"/>
              </w:rPr>
              <w:t xml:space="preserve"> DIVA’s Engagement at the Commission on Status of Women 69th Session, at the United Nations Headquarters in NY from 10-21 March 2025.</w:t>
            </w:r>
          </w:p>
        </w:tc>
        <w:tc>
          <w:tcPr>
            <w:tcW w:w="1843" w:type="dxa"/>
            <w:tcBorders>
              <w:top w:val="single" w:sz="4" w:space="0" w:color="auto"/>
              <w:bottom w:val="single" w:sz="4" w:space="0" w:color="000000"/>
            </w:tcBorders>
          </w:tcPr>
          <w:p w14:paraId="08D2EBC1" w14:textId="358EC56E" w:rsidR="0079010B" w:rsidRPr="0072753B" w:rsidRDefault="00BB628E"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tc>
        <w:tc>
          <w:tcPr>
            <w:tcW w:w="2091" w:type="dxa"/>
            <w:tcBorders>
              <w:top w:val="single" w:sz="4" w:space="0" w:color="auto"/>
              <w:bottom w:val="single" w:sz="4" w:space="0" w:color="000000"/>
            </w:tcBorders>
          </w:tcPr>
          <w:p w14:paraId="56A5D40F" w14:textId="205F7331"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$11,500</w:t>
            </w:r>
          </w:p>
          <w:p w14:paraId="32C537F7"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300C384"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p>
          <w:p w14:paraId="5F596F0D"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Borders>
              <w:top w:val="single" w:sz="4" w:space="0" w:color="auto"/>
              <w:bottom w:val="single" w:sz="4" w:space="0" w:color="000000"/>
            </w:tcBorders>
          </w:tcPr>
          <w:p w14:paraId="0506263C"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F05E87" w:rsidRPr="0072753B" w14:paraId="2749CDBD" w14:textId="77777777" w:rsidTr="00CA6E7B">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000000"/>
              <w:bottom w:val="single" w:sz="4" w:space="0" w:color="000000"/>
            </w:tcBorders>
          </w:tcPr>
          <w:p w14:paraId="7FDB7534"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w:t>
            </w:r>
          </w:p>
        </w:tc>
        <w:tc>
          <w:tcPr>
            <w:tcW w:w="3649" w:type="dxa"/>
            <w:tcBorders>
              <w:top w:val="single" w:sz="4" w:space="0" w:color="000000"/>
              <w:bottom w:val="single" w:sz="4" w:space="0" w:color="000000"/>
            </w:tcBorders>
          </w:tcPr>
          <w:p w14:paraId="212C3B76"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CSW 69</w:t>
            </w:r>
            <w:r w:rsidRPr="0072753B">
              <w:rPr>
                <w:rFonts w:asciiTheme="majorHAnsi" w:hAnsiTheme="majorHAnsi" w:cstheme="majorHAnsi"/>
                <w:sz w:val="20"/>
                <w:szCs w:val="20"/>
                <w:vertAlign w:val="superscript"/>
              </w:rPr>
              <w:t>th</w:t>
            </w:r>
            <w:r w:rsidRPr="0072753B">
              <w:rPr>
                <w:rFonts w:asciiTheme="majorHAnsi" w:hAnsiTheme="majorHAnsi" w:cstheme="majorHAnsi"/>
                <w:sz w:val="20"/>
                <w:szCs w:val="20"/>
              </w:rPr>
              <w:t xml:space="preserve"> Session Engagement Support</w:t>
            </w:r>
          </w:p>
          <w:p w14:paraId="38F1E32D"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2A50FDD"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Women’s Rights Movement)</w:t>
            </w:r>
          </w:p>
        </w:tc>
        <w:tc>
          <w:tcPr>
            <w:tcW w:w="3827" w:type="dxa"/>
            <w:tcBorders>
              <w:top w:val="single" w:sz="4" w:space="0" w:color="000000"/>
              <w:bottom w:val="single" w:sz="4" w:space="0" w:color="000000"/>
            </w:tcBorders>
          </w:tcPr>
          <w:p w14:paraId="015E54F3" w14:textId="5B578F0C"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The </w:t>
            </w:r>
            <w:r w:rsidR="000B226B" w:rsidRPr="0072753B">
              <w:rPr>
                <w:rFonts w:asciiTheme="majorHAnsi" w:hAnsiTheme="majorHAnsi" w:cstheme="majorHAnsi"/>
                <w:color w:val="000000"/>
                <w:sz w:val="20"/>
                <w:szCs w:val="20"/>
              </w:rPr>
              <w:t>grants</w:t>
            </w:r>
            <w:r w:rsidRPr="0072753B">
              <w:rPr>
                <w:rFonts w:asciiTheme="majorHAnsi" w:hAnsiTheme="majorHAnsi" w:cstheme="majorHAnsi"/>
                <w:color w:val="000000"/>
                <w:sz w:val="20"/>
                <w:szCs w:val="20"/>
              </w:rPr>
              <w:t xml:space="preserve"> </w:t>
            </w:r>
            <w:r w:rsidR="009E2667" w:rsidRPr="0072753B">
              <w:rPr>
                <w:rFonts w:asciiTheme="majorHAnsi" w:hAnsiTheme="majorHAnsi" w:cstheme="majorHAnsi"/>
                <w:color w:val="000000"/>
                <w:sz w:val="20"/>
                <w:szCs w:val="20"/>
              </w:rPr>
              <w:t>support</w:t>
            </w:r>
            <w:r w:rsidRPr="0072753B">
              <w:rPr>
                <w:rFonts w:asciiTheme="majorHAnsi" w:hAnsiTheme="majorHAnsi" w:cstheme="majorHAnsi"/>
                <w:color w:val="000000"/>
                <w:sz w:val="20"/>
                <w:szCs w:val="20"/>
              </w:rPr>
              <w:t xml:space="preserve"> FWRM engagement at the Commission on the Status of Women 69th Session, at the United Nations Headquarters in NY from 10-21 March 2025.</w:t>
            </w:r>
          </w:p>
        </w:tc>
        <w:tc>
          <w:tcPr>
            <w:tcW w:w="1843" w:type="dxa"/>
            <w:tcBorders>
              <w:top w:val="single" w:sz="4" w:space="0" w:color="000000"/>
              <w:bottom w:val="single" w:sz="4" w:space="0" w:color="000000"/>
            </w:tcBorders>
          </w:tcPr>
          <w:p w14:paraId="090A9520" w14:textId="2E28E40F" w:rsidR="0079010B" w:rsidRPr="0072753B" w:rsidRDefault="00BB628E"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tc>
        <w:tc>
          <w:tcPr>
            <w:tcW w:w="2091" w:type="dxa"/>
            <w:tcBorders>
              <w:top w:val="single" w:sz="4" w:space="0" w:color="000000"/>
              <w:bottom w:val="single" w:sz="4" w:space="0" w:color="000000"/>
            </w:tcBorders>
          </w:tcPr>
          <w:p w14:paraId="1AEDA294" w14:textId="3C7253EE"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$10,375</w:t>
            </w:r>
          </w:p>
          <w:p w14:paraId="2982D95E"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BD9A2B6"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p>
        </w:tc>
        <w:tc>
          <w:tcPr>
            <w:tcW w:w="1873" w:type="dxa"/>
            <w:tcBorders>
              <w:top w:val="single" w:sz="4" w:space="0" w:color="000000"/>
              <w:bottom w:val="single" w:sz="4" w:space="0" w:color="000000"/>
            </w:tcBorders>
          </w:tcPr>
          <w:p w14:paraId="0743DAC1"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F05E87" w:rsidRPr="0072753B" w14:paraId="70BE5980"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000000"/>
              <w:bottom w:val="single" w:sz="4" w:space="0" w:color="000000"/>
            </w:tcBorders>
          </w:tcPr>
          <w:p w14:paraId="16F967C7"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w:t>
            </w:r>
          </w:p>
        </w:tc>
        <w:tc>
          <w:tcPr>
            <w:tcW w:w="3649" w:type="dxa"/>
            <w:tcBorders>
              <w:top w:val="single" w:sz="4" w:space="0" w:color="000000"/>
              <w:bottom w:val="single" w:sz="4" w:space="0" w:color="000000"/>
            </w:tcBorders>
          </w:tcPr>
          <w:p w14:paraId="790F08F8" w14:textId="77777777"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roofErr w:type="spellStart"/>
            <w:r w:rsidRPr="0072753B">
              <w:rPr>
                <w:rFonts w:asciiTheme="majorHAnsi" w:hAnsiTheme="majorHAnsi" w:cstheme="majorHAnsi"/>
                <w:color w:val="000000"/>
                <w:sz w:val="20"/>
                <w:szCs w:val="20"/>
              </w:rPr>
              <w:t>Fafine</w:t>
            </w:r>
            <w:proofErr w:type="spellEnd"/>
            <w:r w:rsidRPr="0072753B">
              <w:rPr>
                <w:rFonts w:asciiTheme="majorHAnsi" w:hAnsiTheme="majorHAnsi" w:cstheme="majorHAnsi"/>
                <w:color w:val="000000"/>
                <w:sz w:val="20"/>
                <w:szCs w:val="20"/>
              </w:rPr>
              <w:t xml:space="preserve"> Tuvalu Mo Se lei</w:t>
            </w:r>
          </w:p>
          <w:p w14:paraId="50D7FD77"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923A350"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t>
            </w:r>
            <w:proofErr w:type="spellStart"/>
            <w:r w:rsidRPr="0072753B">
              <w:rPr>
                <w:rFonts w:asciiTheme="majorHAnsi" w:hAnsiTheme="majorHAnsi" w:cstheme="majorHAnsi"/>
                <w:sz w:val="20"/>
                <w:szCs w:val="20"/>
              </w:rPr>
              <w:t>Fatu’Lei</w:t>
            </w:r>
            <w:proofErr w:type="spellEnd"/>
            <w:r w:rsidRPr="0072753B">
              <w:rPr>
                <w:rFonts w:asciiTheme="majorHAnsi" w:hAnsiTheme="majorHAnsi" w:cstheme="majorHAnsi"/>
                <w:sz w:val="20"/>
                <w:szCs w:val="20"/>
              </w:rPr>
              <w:t>)</w:t>
            </w:r>
          </w:p>
        </w:tc>
        <w:tc>
          <w:tcPr>
            <w:tcW w:w="3827" w:type="dxa"/>
            <w:tcBorders>
              <w:top w:val="single" w:sz="4" w:space="0" w:color="000000"/>
              <w:bottom w:val="single" w:sz="4" w:space="0" w:color="000000"/>
            </w:tcBorders>
          </w:tcPr>
          <w:p w14:paraId="373CE8D0" w14:textId="4917B871"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The </w:t>
            </w:r>
            <w:r w:rsidR="000B226B" w:rsidRPr="0072753B">
              <w:rPr>
                <w:rFonts w:asciiTheme="majorHAnsi" w:hAnsiTheme="majorHAnsi" w:cstheme="majorHAnsi"/>
                <w:color w:val="000000"/>
                <w:sz w:val="20"/>
                <w:szCs w:val="20"/>
              </w:rPr>
              <w:t>grant</w:t>
            </w:r>
            <w:r w:rsidRPr="0072753B">
              <w:rPr>
                <w:rFonts w:asciiTheme="majorHAnsi" w:hAnsiTheme="majorHAnsi" w:cstheme="majorHAnsi"/>
                <w:color w:val="000000"/>
                <w:sz w:val="20"/>
                <w:szCs w:val="20"/>
              </w:rPr>
              <w:t xml:space="preserve"> strengthen</w:t>
            </w:r>
            <w:r w:rsidR="000B226B" w:rsidRPr="0072753B">
              <w:rPr>
                <w:rFonts w:asciiTheme="majorHAnsi" w:hAnsiTheme="majorHAnsi" w:cstheme="majorHAnsi"/>
                <w:color w:val="000000"/>
                <w:sz w:val="20"/>
                <w:szCs w:val="20"/>
              </w:rPr>
              <w:t>s</w:t>
            </w:r>
            <w:r w:rsidRPr="0072753B">
              <w:rPr>
                <w:rFonts w:asciiTheme="majorHAnsi" w:hAnsiTheme="majorHAnsi" w:cstheme="majorHAnsi"/>
                <w:color w:val="000000"/>
                <w:sz w:val="20"/>
                <w:szCs w:val="20"/>
              </w:rPr>
              <w:t xml:space="preserve"> values-based leadership for women in Tuvalu. </w:t>
            </w:r>
            <w:proofErr w:type="spellStart"/>
            <w:r w:rsidRPr="0072753B">
              <w:rPr>
                <w:rFonts w:asciiTheme="majorHAnsi" w:hAnsiTheme="majorHAnsi" w:cstheme="majorHAnsi"/>
                <w:color w:val="000000"/>
                <w:sz w:val="20"/>
                <w:szCs w:val="20"/>
              </w:rPr>
              <w:t>Fatulei</w:t>
            </w:r>
            <w:proofErr w:type="spellEnd"/>
            <w:r w:rsidRPr="0072753B">
              <w:rPr>
                <w:rFonts w:asciiTheme="majorHAnsi" w:hAnsiTheme="majorHAnsi" w:cstheme="majorHAnsi"/>
                <w:color w:val="000000"/>
                <w:sz w:val="20"/>
                <w:szCs w:val="20"/>
              </w:rPr>
              <w:t xml:space="preserve"> will work with other women’s groups to implement their training and capacity building plans.</w:t>
            </w:r>
          </w:p>
        </w:tc>
        <w:tc>
          <w:tcPr>
            <w:tcW w:w="1843" w:type="dxa"/>
            <w:tcBorders>
              <w:top w:val="single" w:sz="4" w:space="0" w:color="000000"/>
              <w:bottom w:val="single" w:sz="4" w:space="0" w:color="000000"/>
            </w:tcBorders>
          </w:tcPr>
          <w:p w14:paraId="6B1FFE35" w14:textId="7B0D476E" w:rsidR="0079010B" w:rsidRPr="0072753B" w:rsidRDefault="00BB628E"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Tuvalu</w:t>
            </w:r>
          </w:p>
        </w:tc>
        <w:tc>
          <w:tcPr>
            <w:tcW w:w="2091" w:type="dxa"/>
            <w:tcBorders>
              <w:top w:val="single" w:sz="4" w:space="0" w:color="000000"/>
              <w:bottom w:val="single" w:sz="4" w:space="0" w:color="000000"/>
            </w:tcBorders>
          </w:tcPr>
          <w:p w14:paraId="36BC489B" w14:textId="55710029"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$94,500</w:t>
            </w:r>
          </w:p>
          <w:p w14:paraId="703A425D" w14:textId="77777777"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0610E4BF" w14:textId="3CAB2AAA"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r w:rsidR="00A2616E" w:rsidRPr="0072753B">
              <w:rPr>
                <w:rFonts w:asciiTheme="majorHAnsi" w:hAnsiTheme="majorHAnsi" w:cstheme="majorHAnsi"/>
                <w:color w:val="000000"/>
                <w:sz w:val="20"/>
                <w:szCs w:val="20"/>
              </w:rPr>
              <w:t xml:space="preserve"> – </w:t>
            </w:r>
            <w:r w:rsidRPr="0072753B">
              <w:rPr>
                <w:rFonts w:asciiTheme="majorHAnsi" w:hAnsiTheme="majorHAnsi" w:cstheme="majorHAnsi"/>
                <w:color w:val="000000"/>
                <w:sz w:val="20"/>
                <w:szCs w:val="20"/>
              </w:rPr>
              <w:t>2027</w:t>
            </w:r>
          </w:p>
        </w:tc>
        <w:tc>
          <w:tcPr>
            <w:tcW w:w="1873" w:type="dxa"/>
            <w:tcBorders>
              <w:top w:val="single" w:sz="4" w:space="0" w:color="000000"/>
              <w:bottom w:val="single" w:sz="4" w:space="0" w:color="000000"/>
            </w:tcBorders>
          </w:tcPr>
          <w:p w14:paraId="512429B6" w14:textId="2E0BB546" w:rsidR="0079010B" w:rsidRPr="0072753B" w:rsidRDefault="00FC3F74"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F05E87" w:rsidRPr="0072753B" w14:paraId="65CA5248" w14:textId="77777777" w:rsidTr="00CA6E7B">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000000"/>
              <w:bottom w:val="nil"/>
            </w:tcBorders>
          </w:tcPr>
          <w:p w14:paraId="6A3EF13C"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4</w:t>
            </w:r>
          </w:p>
        </w:tc>
        <w:tc>
          <w:tcPr>
            <w:tcW w:w="3649" w:type="dxa"/>
            <w:tcBorders>
              <w:top w:val="single" w:sz="4" w:space="0" w:color="000000"/>
              <w:bottom w:val="nil"/>
            </w:tcBorders>
          </w:tcPr>
          <w:p w14:paraId="0BB98DB3" w14:textId="77777777"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Pacific Island Climate Action Network</w:t>
            </w:r>
          </w:p>
          <w:p w14:paraId="687DCC04" w14:textId="77777777"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3D0893F0" w14:textId="77777777"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(Pacific Island Climate Action Network (PICAN))</w:t>
            </w:r>
          </w:p>
        </w:tc>
        <w:tc>
          <w:tcPr>
            <w:tcW w:w="3827" w:type="dxa"/>
            <w:tcBorders>
              <w:top w:val="single" w:sz="4" w:space="0" w:color="000000"/>
              <w:bottom w:val="nil"/>
            </w:tcBorders>
          </w:tcPr>
          <w:p w14:paraId="0D2039E7" w14:textId="1235F954" w:rsidR="0079010B" w:rsidRPr="0072753B" w:rsidRDefault="0038552F"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This grant provides core funding </w:t>
            </w:r>
            <w:r w:rsidR="00293726" w:rsidRPr="0072753B">
              <w:rPr>
                <w:rFonts w:asciiTheme="majorHAnsi" w:hAnsiTheme="majorHAnsi" w:cstheme="majorHAnsi"/>
                <w:color w:val="000000"/>
                <w:sz w:val="20"/>
                <w:szCs w:val="20"/>
              </w:rPr>
              <w:t xml:space="preserve">and ongoing operational support to PICAN. </w:t>
            </w:r>
          </w:p>
        </w:tc>
        <w:tc>
          <w:tcPr>
            <w:tcW w:w="1843" w:type="dxa"/>
            <w:tcBorders>
              <w:top w:val="single" w:sz="4" w:space="0" w:color="000000"/>
              <w:bottom w:val="nil"/>
            </w:tcBorders>
          </w:tcPr>
          <w:p w14:paraId="0A51707E" w14:textId="05CB60A1" w:rsidR="0079010B" w:rsidRPr="0072753B" w:rsidRDefault="00725CC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Regional</w:t>
            </w:r>
          </w:p>
        </w:tc>
        <w:tc>
          <w:tcPr>
            <w:tcW w:w="2091" w:type="dxa"/>
            <w:tcBorders>
              <w:top w:val="single" w:sz="4" w:space="0" w:color="000000"/>
              <w:bottom w:val="nil"/>
            </w:tcBorders>
          </w:tcPr>
          <w:p w14:paraId="285A12FC" w14:textId="1AB0C3BA"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$74,500</w:t>
            </w:r>
          </w:p>
          <w:p w14:paraId="22970CA3" w14:textId="77777777"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7CCA0CF" w14:textId="6E50AAC5" w:rsidR="0079010B" w:rsidRPr="0072753B" w:rsidRDefault="0079010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r w:rsidR="004B5668"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2026</w:t>
            </w:r>
          </w:p>
        </w:tc>
        <w:tc>
          <w:tcPr>
            <w:tcW w:w="1873" w:type="dxa"/>
            <w:tcBorders>
              <w:top w:val="single" w:sz="4" w:space="0" w:color="000000"/>
              <w:bottom w:val="nil"/>
            </w:tcBorders>
          </w:tcPr>
          <w:p w14:paraId="2041E5A4" w14:textId="3BAAB627" w:rsidR="0079010B" w:rsidRPr="0072753B" w:rsidRDefault="00F05E8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05E87" w:rsidRPr="0072753B" w14:paraId="6835818E"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dxa"/>
            <w:tcBorders>
              <w:bottom w:val="single" w:sz="4" w:space="0" w:color="000000"/>
            </w:tcBorders>
          </w:tcPr>
          <w:p w14:paraId="5627F4CA"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5</w:t>
            </w:r>
          </w:p>
        </w:tc>
        <w:tc>
          <w:tcPr>
            <w:tcW w:w="3649" w:type="dxa"/>
            <w:tcBorders>
              <w:bottom w:val="single" w:sz="4" w:space="0" w:color="000000"/>
            </w:tcBorders>
          </w:tcPr>
          <w:p w14:paraId="55E6D20E" w14:textId="2645460D" w:rsidR="0079010B" w:rsidRPr="0072753B" w:rsidRDefault="005F320E"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Pacific Feminist Fund Confidential Grant</w:t>
            </w:r>
          </w:p>
        </w:tc>
        <w:tc>
          <w:tcPr>
            <w:tcW w:w="3827" w:type="dxa"/>
            <w:tcBorders>
              <w:bottom w:val="single" w:sz="4" w:space="0" w:color="000000"/>
            </w:tcBorders>
          </w:tcPr>
          <w:p w14:paraId="131559C7" w14:textId="77777777"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NZD323,400 was approved for a 3-year period to support the PIDSOGIESC work in the Pacific region.</w:t>
            </w:r>
          </w:p>
        </w:tc>
        <w:tc>
          <w:tcPr>
            <w:tcW w:w="1843" w:type="dxa"/>
            <w:tcBorders>
              <w:bottom w:val="single" w:sz="4" w:space="0" w:color="000000"/>
            </w:tcBorders>
          </w:tcPr>
          <w:p w14:paraId="7001F02C" w14:textId="785300A1" w:rsidR="0079010B" w:rsidRPr="0072753B" w:rsidRDefault="00725CC7"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Regional</w:t>
            </w:r>
          </w:p>
        </w:tc>
        <w:tc>
          <w:tcPr>
            <w:tcW w:w="2091" w:type="dxa"/>
            <w:tcBorders>
              <w:bottom w:val="single" w:sz="4" w:space="0" w:color="000000"/>
            </w:tcBorders>
          </w:tcPr>
          <w:p w14:paraId="3521CFFB" w14:textId="38249F59"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$113,500</w:t>
            </w:r>
          </w:p>
          <w:p w14:paraId="6D349BDC" w14:textId="77777777"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164C324C" w14:textId="02E92DD9"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r w:rsidR="004B5668"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2028</w:t>
            </w:r>
          </w:p>
        </w:tc>
        <w:tc>
          <w:tcPr>
            <w:tcW w:w="1873" w:type="dxa"/>
            <w:tcBorders>
              <w:bottom w:val="single" w:sz="4" w:space="0" w:color="000000"/>
            </w:tcBorders>
          </w:tcPr>
          <w:p w14:paraId="04324C54" w14:textId="1F1AB735" w:rsidR="0079010B" w:rsidRPr="0072753B" w:rsidRDefault="00F05E8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05E87" w:rsidRPr="0072753B" w14:paraId="3D26CB58" w14:textId="77777777" w:rsidTr="00CA6E7B">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000000"/>
              <w:bottom w:val="single" w:sz="4" w:space="0" w:color="000000"/>
            </w:tcBorders>
          </w:tcPr>
          <w:p w14:paraId="5602F0BF"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6</w:t>
            </w:r>
          </w:p>
        </w:tc>
        <w:tc>
          <w:tcPr>
            <w:tcW w:w="3649" w:type="dxa"/>
            <w:tcBorders>
              <w:top w:val="single" w:sz="4" w:space="0" w:color="000000"/>
              <w:bottom w:val="single" w:sz="4" w:space="0" w:color="000000"/>
            </w:tcBorders>
          </w:tcPr>
          <w:p w14:paraId="49DAAF72" w14:textId="1075DCDE" w:rsidR="0079010B" w:rsidRPr="0072753B" w:rsidRDefault="005F320E"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Pacific Feminist Fund Confidential Grant</w:t>
            </w:r>
          </w:p>
        </w:tc>
        <w:tc>
          <w:tcPr>
            <w:tcW w:w="3827" w:type="dxa"/>
            <w:tcBorders>
              <w:top w:val="single" w:sz="4" w:space="0" w:color="000000"/>
              <w:bottom w:val="single" w:sz="4" w:space="0" w:color="000000"/>
            </w:tcBorders>
          </w:tcPr>
          <w:p w14:paraId="65897D02" w14:textId="5EF33934"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 xml:space="preserve">The </w:t>
            </w:r>
            <w:r w:rsidR="00293726" w:rsidRPr="0072753B">
              <w:rPr>
                <w:rFonts w:asciiTheme="majorHAnsi" w:hAnsiTheme="majorHAnsi" w:cstheme="majorHAnsi"/>
                <w:color w:val="000000"/>
                <w:sz w:val="20"/>
                <w:szCs w:val="20"/>
              </w:rPr>
              <w:t>grant</w:t>
            </w:r>
            <w:r w:rsidRPr="0072753B">
              <w:rPr>
                <w:rFonts w:asciiTheme="majorHAnsi" w:hAnsiTheme="majorHAnsi" w:cstheme="majorHAnsi"/>
                <w:color w:val="000000"/>
                <w:sz w:val="20"/>
                <w:szCs w:val="20"/>
              </w:rPr>
              <w:t xml:space="preserve"> foster</w:t>
            </w:r>
            <w:r w:rsidR="00293726" w:rsidRPr="0072753B">
              <w:rPr>
                <w:rFonts w:asciiTheme="majorHAnsi" w:hAnsiTheme="majorHAnsi" w:cstheme="majorHAnsi"/>
                <w:color w:val="000000"/>
                <w:sz w:val="20"/>
                <w:szCs w:val="20"/>
              </w:rPr>
              <w:t>s</w:t>
            </w:r>
            <w:r w:rsidRPr="0072753B">
              <w:rPr>
                <w:rFonts w:asciiTheme="majorHAnsi" w:hAnsiTheme="majorHAnsi" w:cstheme="majorHAnsi"/>
                <w:color w:val="000000"/>
                <w:sz w:val="20"/>
                <w:szCs w:val="20"/>
              </w:rPr>
              <w:t xml:space="preserve"> solidarity and collaboration to advance PIDSOGIESC+ rights in the Pacific region. A total of NZD323,400 was approved for over a 3-year period.</w:t>
            </w:r>
          </w:p>
        </w:tc>
        <w:tc>
          <w:tcPr>
            <w:tcW w:w="1843" w:type="dxa"/>
            <w:tcBorders>
              <w:top w:val="single" w:sz="4" w:space="0" w:color="000000"/>
              <w:bottom w:val="single" w:sz="4" w:space="0" w:color="000000"/>
            </w:tcBorders>
          </w:tcPr>
          <w:p w14:paraId="49ADB6A4" w14:textId="56364361" w:rsidR="0079010B" w:rsidRPr="0072753B" w:rsidRDefault="00725CC7"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Regional</w:t>
            </w:r>
          </w:p>
        </w:tc>
        <w:tc>
          <w:tcPr>
            <w:tcW w:w="2091" w:type="dxa"/>
            <w:tcBorders>
              <w:top w:val="single" w:sz="4" w:space="0" w:color="000000"/>
              <w:bottom w:val="single" w:sz="4" w:space="0" w:color="000000"/>
            </w:tcBorders>
          </w:tcPr>
          <w:p w14:paraId="668D9256" w14:textId="2BBA28DA"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$113,50</w:t>
            </w:r>
            <w:r w:rsidR="002126C8" w:rsidRPr="0072753B">
              <w:rPr>
                <w:rFonts w:asciiTheme="majorHAnsi" w:hAnsiTheme="majorHAnsi" w:cstheme="majorHAnsi"/>
                <w:color w:val="000000"/>
                <w:sz w:val="20"/>
                <w:szCs w:val="20"/>
              </w:rPr>
              <w:t>0</w:t>
            </w:r>
          </w:p>
          <w:p w14:paraId="6033DA90" w14:textId="77777777"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4054A0AD" w14:textId="20E4A912" w:rsidR="0079010B" w:rsidRPr="0072753B" w:rsidRDefault="0079010B"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2025</w:t>
            </w:r>
            <w:r w:rsidR="004B5668" w:rsidRPr="0072753B">
              <w:rPr>
                <w:rFonts w:asciiTheme="majorHAnsi" w:hAnsiTheme="majorHAnsi" w:cstheme="majorHAnsi"/>
                <w:color w:val="000000"/>
                <w:sz w:val="20"/>
                <w:szCs w:val="20"/>
              </w:rPr>
              <w:t xml:space="preserve"> – </w:t>
            </w:r>
            <w:r w:rsidRPr="0072753B">
              <w:rPr>
                <w:rFonts w:asciiTheme="majorHAnsi" w:hAnsiTheme="majorHAnsi" w:cstheme="majorHAnsi"/>
                <w:color w:val="000000"/>
                <w:sz w:val="20"/>
                <w:szCs w:val="20"/>
              </w:rPr>
              <w:t>2028</w:t>
            </w:r>
          </w:p>
        </w:tc>
        <w:tc>
          <w:tcPr>
            <w:tcW w:w="1873" w:type="dxa"/>
            <w:tcBorders>
              <w:top w:val="single" w:sz="4" w:space="0" w:color="000000"/>
              <w:bottom w:val="single" w:sz="4" w:space="0" w:color="000000"/>
            </w:tcBorders>
          </w:tcPr>
          <w:p w14:paraId="09A4E8F0" w14:textId="33E66EA3" w:rsidR="0079010B" w:rsidRPr="0072753B" w:rsidRDefault="00F05E8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05E87" w:rsidRPr="0072753B" w14:paraId="50E7B09B"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dxa"/>
            <w:tcBorders>
              <w:top w:val="single" w:sz="4" w:space="0" w:color="000000"/>
            </w:tcBorders>
          </w:tcPr>
          <w:p w14:paraId="202E05C9" w14:textId="77777777" w:rsidR="0079010B" w:rsidRPr="0072753B" w:rsidRDefault="0079010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7</w:t>
            </w:r>
          </w:p>
        </w:tc>
        <w:tc>
          <w:tcPr>
            <w:tcW w:w="3649" w:type="dxa"/>
            <w:tcBorders>
              <w:top w:val="single" w:sz="4" w:space="0" w:color="000000"/>
            </w:tcBorders>
          </w:tcPr>
          <w:p w14:paraId="20A0A31F" w14:textId="11828CBB" w:rsidR="0079010B" w:rsidRPr="0072753B" w:rsidRDefault="005F320E"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Pacific Feminist Fund Confidential Grant</w:t>
            </w:r>
          </w:p>
        </w:tc>
        <w:tc>
          <w:tcPr>
            <w:tcW w:w="3827" w:type="dxa"/>
            <w:tcBorders>
              <w:top w:val="single" w:sz="4" w:space="0" w:color="000000"/>
            </w:tcBorders>
          </w:tcPr>
          <w:p w14:paraId="4D9EB174" w14:textId="77777777"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The purpose of the Grant is to support fostering solidarity and collaboration to advance the rights of PIDSOGIESC+ people in the Pacific. NZD323,400 was approved for a 3-year period.</w:t>
            </w:r>
          </w:p>
        </w:tc>
        <w:tc>
          <w:tcPr>
            <w:tcW w:w="1843" w:type="dxa"/>
            <w:tcBorders>
              <w:top w:val="single" w:sz="4" w:space="0" w:color="000000"/>
            </w:tcBorders>
          </w:tcPr>
          <w:p w14:paraId="0A636B7F" w14:textId="38CEDB20" w:rsidR="0079010B" w:rsidRPr="0072753B" w:rsidRDefault="00725CC7"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sz w:val="20"/>
                <w:szCs w:val="20"/>
              </w:rPr>
              <w:t>Regional</w:t>
            </w:r>
          </w:p>
        </w:tc>
        <w:tc>
          <w:tcPr>
            <w:tcW w:w="2091" w:type="dxa"/>
            <w:tcBorders>
              <w:top w:val="single" w:sz="4" w:space="0" w:color="000000"/>
            </w:tcBorders>
          </w:tcPr>
          <w:p w14:paraId="5C0A9D22" w14:textId="1C7D34E8" w:rsidR="0079010B" w:rsidRPr="0072753B" w:rsidRDefault="0079010B" w:rsidP="0072753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2753B">
              <w:rPr>
                <w:rFonts w:asciiTheme="majorHAnsi" w:hAnsiTheme="majorHAnsi" w:cstheme="majorHAnsi"/>
                <w:color w:val="000000"/>
                <w:sz w:val="20"/>
                <w:szCs w:val="20"/>
              </w:rPr>
              <w:t>$113,500</w:t>
            </w:r>
          </w:p>
          <w:p w14:paraId="1E3B1412" w14:textId="77777777"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B7DAD89" w14:textId="3BDC3D74" w:rsidR="0079010B" w:rsidRPr="0072753B" w:rsidRDefault="0079010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w:t>
            </w:r>
            <w:r w:rsidR="004B5668"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2028</w:t>
            </w:r>
          </w:p>
        </w:tc>
        <w:tc>
          <w:tcPr>
            <w:tcW w:w="1873" w:type="dxa"/>
            <w:tcBorders>
              <w:top w:val="single" w:sz="4" w:space="0" w:color="000000"/>
            </w:tcBorders>
          </w:tcPr>
          <w:p w14:paraId="7F77470B" w14:textId="2A2F2886" w:rsidR="0079010B" w:rsidRPr="0072753B" w:rsidRDefault="00F05E8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bl>
    <w:p w14:paraId="71911F98" w14:textId="77777777" w:rsidR="00F60DD2" w:rsidRPr="0072753B" w:rsidRDefault="00F60DD2" w:rsidP="0072753B">
      <w:pPr>
        <w:jc w:val="left"/>
      </w:pPr>
    </w:p>
    <w:p w14:paraId="5D7C6325" w14:textId="295F7039" w:rsidR="00E34E37" w:rsidRPr="0072753B" w:rsidRDefault="00E34E37" w:rsidP="0072753B">
      <w:pPr>
        <w:pStyle w:val="Heading2"/>
        <w:ind w:hanging="993"/>
        <w:rPr>
          <w:rFonts w:asciiTheme="majorHAnsi" w:hAnsiTheme="majorHAnsi"/>
        </w:rPr>
      </w:pPr>
      <w:bookmarkStart w:id="31" w:name="_Toc207912573"/>
      <w:bookmarkStart w:id="32" w:name="_Toc208777788"/>
      <w:r w:rsidRPr="0072753B">
        <w:rPr>
          <w:rFonts w:asciiTheme="majorHAnsi" w:hAnsiTheme="majorHAnsi"/>
        </w:rPr>
        <w:t xml:space="preserve">DFAT </w:t>
      </w:r>
      <w:r w:rsidR="003745BA" w:rsidRPr="0072753B">
        <w:rPr>
          <w:rFonts w:asciiTheme="majorHAnsi" w:hAnsiTheme="majorHAnsi"/>
        </w:rPr>
        <w:t>R</w:t>
      </w:r>
      <w:r w:rsidRPr="0072753B">
        <w:rPr>
          <w:rFonts w:asciiTheme="majorHAnsi" w:hAnsiTheme="majorHAnsi"/>
        </w:rPr>
        <w:t xml:space="preserve">egional </w:t>
      </w:r>
      <w:bookmarkEnd w:id="31"/>
      <w:r w:rsidR="003745BA" w:rsidRPr="0072753B">
        <w:rPr>
          <w:rFonts w:asciiTheme="majorHAnsi" w:hAnsiTheme="majorHAnsi"/>
        </w:rPr>
        <w:t>Grants</w:t>
      </w:r>
      <w:bookmarkEnd w:id="32"/>
    </w:p>
    <w:p w14:paraId="45581C88" w14:textId="77777777" w:rsidR="00987712" w:rsidRPr="0072753B" w:rsidRDefault="00985039" w:rsidP="0072753B">
      <w:pPr>
        <w:pStyle w:val="BodyText"/>
        <w:spacing w:after="120"/>
        <w:rPr>
          <w:rFonts w:asciiTheme="majorHAnsi" w:hAnsiTheme="majorHAnsi" w:cstheme="majorHAnsi"/>
          <w:szCs w:val="20"/>
        </w:rPr>
      </w:pPr>
      <w:r w:rsidRPr="0072753B">
        <w:rPr>
          <w:rFonts w:asciiTheme="majorHAnsi" w:hAnsiTheme="majorHAnsi" w:cstheme="majorHAnsi"/>
          <w:szCs w:val="20"/>
        </w:rPr>
        <w:t xml:space="preserve">This section provides an overview of regional (multi-country) gender activities that are managed and funded by either DFAT Post in Fiji or DFAT Canberra (Australia). </w:t>
      </w:r>
    </w:p>
    <w:p w14:paraId="00D6AA63" w14:textId="1F137F68" w:rsidR="00AD2F35" w:rsidRPr="0072753B" w:rsidRDefault="001F53B8" w:rsidP="0072753B">
      <w:pPr>
        <w:spacing w:after="360" w:line="276" w:lineRule="auto"/>
        <w:jc w:val="left"/>
        <w:rPr>
          <w:rFonts w:asciiTheme="majorHAnsi" w:hAnsiTheme="majorHAnsi" w:cstheme="majorHAnsi"/>
          <w:sz w:val="20"/>
          <w:szCs w:val="20"/>
        </w:rPr>
      </w:pPr>
      <w:r w:rsidRPr="0072753B">
        <w:rPr>
          <w:rFonts w:asciiTheme="majorHAnsi" w:hAnsiTheme="majorHAnsi" w:cstheme="majorHAnsi"/>
          <w:sz w:val="20"/>
          <w:szCs w:val="20"/>
        </w:rPr>
        <w:t xml:space="preserve">There are </w:t>
      </w:r>
      <w:r w:rsidR="00DF3F55" w:rsidRPr="0072753B">
        <w:rPr>
          <w:rFonts w:asciiTheme="majorHAnsi" w:hAnsiTheme="majorHAnsi" w:cstheme="majorHAnsi"/>
          <w:sz w:val="20"/>
          <w:szCs w:val="20"/>
        </w:rPr>
        <w:t xml:space="preserve">24 </w:t>
      </w:r>
      <w:r w:rsidRPr="0072753B">
        <w:rPr>
          <w:rFonts w:asciiTheme="majorHAnsi" w:hAnsiTheme="majorHAnsi" w:cstheme="majorHAnsi"/>
          <w:sz w:val="20"/>
          <w:szCs w:val="20"/>
        </w:rPr>
        <w:t>regional projects</w:t>
      </w:r>
      <w:r w:rsidR="000417E3" w:rsidRPr="0072753B">
        <w:rPr>
          <w:rFonts w:asciiTheme="majorHAnsi" w:hAnsiTheme="majorHAnsi" w:cstheme="majorHAnsi"/>
          <w:sz w:val="20"/>
          <w:szCs w:val="20"/>
        </w:rPr>
        <w:t xml:space="preserve"> </w:t>
      </w:r>
      <w:r w:rsidR="00CB4767" w:rsidRPr="0072753B">
        <w:rPr>
          <w:rStyle w:val="FootnoteReference"/>
          <w:rFonts w:asciiTheme="majorHAnsi" w:hAnsiTheme="majorHAnsi" w:cstheme="majorHAnsi"/>
          <w:sz w:val="20"/>
          <w:szCs w:val="20"/>
        </w:rPr>
        <w:footnoteReference w:id="9"/>
      </w:r>
      <w:r w:rsidR="00DF3F55" w:rsidRPr="0072753B">
        <w:rPr>
          <w:rFonts w:asciiTheme="majorHAnsi" w:hAnsiTheme="majorHAnsi" w:cstheme="majorHAnsi"/>
          <w:sz w:val="20"/>
          <w:szCs w:val="20"/>
        </w:rPr>
        <w:t xml:space="preserve"> </w:t>
      </w:r>
      <w:r w:rsidR="000417E3" w:rsidRPr="0072753B">
        <w:rPr>
          <w:rFonts w:asciiTheme="majorHAnsi" w:hAnsiTheme="majorHAnsi" w:cstheme="majorHAnsi"/>
          <w:sz w:val="20"/>
          <w:szCs w:val="20"/>
        </w:rPr>
        <w:t>and 4 research</w:t>
      </w:r>
      <w:r w:rsidRPr="0072753B">
        <w:rPr>
          <w:rFonts w:asciiTheme="majorHAnsi" w:hAnsiTheme="majorHAnsi" w:cstheme="majorHAnsi"/>
          <w:sz w:val="20"/>
          <w:szCs w:val="20"/>
        </w:rPr>
        <w:t xml:space="preserve"> implemented in multiple countries across the Pacific by </w:t>
      </w:r>
      <w:r w:rsidR="00EB11B9" w:rsidRPr="0072753B">
        <w:rPr>
          <w:rFonts w:asciiTheme="majorHAnsi" w:hAnsiTheme="majorHAnsi" w:cstheme="majorHAnsi"/>
          <w:sz w:val="20"/>
          <w:szCs w:val="20"/>
        </w:rPr>
        <w:t xml:space="preserve">19 </w:t>
      </w:r>
      <w:r w:rsidRPr="0072753B">
        <w:rPr>
          <w:rFonts w:asciiTheme="majorHAnsi" w:hAnsiTheme="majorHAnsi" w:cstheme="majorHAnsi"/>
          <w:sz w:val="20"/>
          <w:szCs w:val="20"/>
        </w:rPr>
        <w:t xml:space="preserve">distinct implementing partners. </w:t>
      </w:r>
      <w:r w:rsidR="00541A08" w:rsidRPr="0072753B">
        <w:rPr>
          <w:rFonts w:asciiTheme="majorHAnsi" w:hAnsiTheme="majorHAnsi" w:cstheme="majorHAnsi"/>
          <w:sz w:val="20"/>
          <w:szCs w:val="20"/>
        </w:rPr>
        <w:t>Of these,</w:t>
      </w:r>
      <w:r w:rsidR="00EB11B9" w:rsidRPr="0072753B">
        <w:rPr>
          <w:rFonts w:asciiTheme="majorHAnsi" w:hAnsiTheme="majorHAnsi" w:cstheme="majorHAnsi"/>
          <w:sz w:val="20"/>
          <w:szCs w:val="20"/>
        </w:rPr>
        <w:t xml:space="preserve"> 22 </w:t>
      </w:r>
      <w:r w:rsidR="00EA7B98" w:rsidRPr="0072753B">
        <w:rPr>
          <w:rFonts w:asciiTheme="majorHAnsi" w:hAnsiTheme="majorHAnsi" w:cstheme="majorHAnsi"/>
          <w:sz w:val="20"/>
          <w:szCs w:val="20"/>
        </w:rPr>
        <w:t>is</w:t>
      </w:r>
      <w:r w:rsidR="00541A08" w:rsidRPr="0072753B">
        <w:rPr>
          <w:rFonts w:asciiTheme="majorHAnsi" w:hAnsiTheme="majorHAnsi" w:cstheme="majorHAnsi"/>
          <w:sz w:val="20"/>
          <w:szCs w:val="20"/>
        </w:rPr>
        <w:t xml:space="preserve"> ongoing and</w:t>
      </w:r>
      <w:r w:rsidR="00011422" w:rsidRPr="0072753B">
        <w:rPr>
          <w:rFonts w:asciiTheme="majorHAnsi" w:hAnsiTheme="majorHAnsi" w:cstheme="majorHAnsi"/>
          <w:sz w:val="20"/>
          <w:szCs w:val="20"/>
        </w:rPr>
        <w:t xml:space="preserve"> </w:t>
      </w:r>
      <w:r w:rsidR="00EB11B9" w:rsidRPr="0072753B">
        <w:rPr>
          <w:rFonts w:asciiTheme="majorHAnsi" w:hAnsiTheme="majorHAnsi" w:cstheme="majorHAnsi"/>
          <w:sz w:val="20"/>
          <w:szCs w:val="20"/>
        </w:rPr>
        <w:t xml:space="preserve">6 </w:t>
      </w:r>
      <w:r w:rsidR="005D56F6" w:rsidRPr="0072753B">
        <w:rPr>
          <w:rFonts w:asciiTheme="majorHAnsi" w:hAnsiTheme="majorHAnsi" w:cstheme="majorHAnsi"/>
          <w:sz w:val="20"/>
          <w:szCs w:val="20"/>
        </w:rPr>
        <w:t>have</w:t>
      </w:r>
      <w:r w:rsidR="00011422" w:rsidRPr="0072753B">
        <w:rPr>
          <w:rFonts w:asciiTheme="majorHAnsi" w:hAnsiTheme="majorHAnsi" w:cstheme="majorHAnsi"/>
          <w:sz w:val="20"/>
          <w:szCs w:val="20"/>
        </w:rPr>
        <w:t xml:space="preserve"> been completed.</w:t>
      </w:r>
    </w:p>
    <w:p w14:paraId="02385187" w14:textId="56063D97" w:rsidR="009E65AD" w:rsidRPr="0072753B" w:rsidRDefault="00D24BD7" w:rsidP="0072753B">
      <w:pPr>
        <w:pStyle w:val="Caption"/>
        <w:rPr>
          <w:color w:val="auto"/>
          <w:sz w:val="20"/>
          <w:szCs w:val="20"/>
        </w:rPr>
      </w:pPr>
      <w:r w:rsidRPr="0072753B">
        <w:rPr>
          <w:color w:val="auto"/>
          <w:sz w:val="20"/>
          <w:szCs w:val="20"/>
        </w:rPr>
        <w:t xml:space="preserve">Table </w:t>
      </w:r>
      <w:r w:rsidR="00442822" w:rsidRPr="0072753B">
        <w:rPr>
          <w:color w:val="auto"/>
          <w:sz w:val="20"/>
          <w:szCs w:val="20"/>
        </w:rPr>
        <w:t>7</w:t>
      </w:r>
      <w:r w:rsidR="009E65AD" w:rsidRPr="0072753B">
        <w:rPr>
          <w:color w:val="auto"/>
          <w:sz w:val="20"/>
          <w:szCs w:val="20"/>
        </w:rPr>
        <w:t xml:space="preserve">: DFAT regional projects as </w:t>
      </w:r>
      <w:r w:rsidR="007244EC" w:rsidRPr="0072753B">
        <w:rPr>
          <w:color w:val="auto"/>
          <w:sz w:val="20"/>
          <w:szCs w:val="20"/>
        </w:rPr>
        <w:t xml:space="preserve">of </w:t>
      </w:r>
      <w:r w:rsidR="0050375D" w:rsidRPr="0072753B">
        <w:rPr>
          <w:color w:val="auto"/>
          <w:sz w:val="20"/>
          <w:szCs w:val="20"/>
        </w:rPr>
        <w:t xml:space="preserve">31 </w:t>
      </w:r>
      <w:r w:rsidR="007244EC" w:rsidRPr="0072753B">
        <w:rPr>
          <w:color w:val="auto"/>
          <w:sz w:val="20"/>
          <w:szCs w:val="20"/>
        </w:rPr>
        <w:t xml:space="preserve">August </w:t>
      </w:r>
      <w:r w:rsidR="00854721" w:rsidRPr="0072753B">
        <w:rPr>
          <w:color w:val="auto"/>
          <w:sz w:val="20"/>
          <w:szCs w:val="20"/>
        </w:rPr>
        <w:t>2025</w:t>
      </w:r>
    </w:p>
    <w:tbl>
      <w:tblPr>
        <w:tblStyle w:val="PlainTable2"/>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36"/>
        <w:gridCol w:w="2191"/>
        <w:gridCol w:w="4675"/>
        <w:gridCol w:w="1725"/>
        <w:gridCol w:w="2087"/>
        <w:gridCol w:w="1587"/>
      </w:tblGrid>
      <w:tr w:rsidR="00BC0E96" w:rsidRPr="0072753B" w14:paraId="0BD086B4" w14:textId="0C7DEC34" w:rsidTr="009C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006699"/>
            <w:tcMar>
              <w:top w:w="85" w:type="dxa"/>
              <w:bottom w:w="85" w:type="dxa"/>
            </w:tcMar>
            <w:vAlign w:val="center"/>
          </w:tcPr>
          <w:p w14:paraId="77AA645B" w14:textId="3622E8F5" w:rsidR="00542C5F" w:rsidRPr="0072753B" w:rsidRDefault="00542C5F" w:rsidP="0072753B">
            <w:pPr>
              <w:spacing w:line="276" w:lineRule="auto"/>
              <w:rPr>
                <w:rFonts w:asciiTheme="majorHAnsi" w:hAnsiTheme="majorHAnsi" w:cstheme="majorHAnsi"/>
                <w:b w:val="0"/>
                <w:bCs w:val="0"/>
                <w:color w:val="FFFFFF" w:themeColor="background1"/>
                <w:sz w:val="20"/>
                <w:szCs w:val="20"/>
              </w:rPr>
            </w:pPr>
            <w:bookmarkStart w:id="33" w:name="_Hlk137733436"/>
            <w:r w:rsidRPr="0072753B">
              <w:rPr>
                <w:rFonts w:asciiTheme="majorHAnsi" w:hAnsiTheme="majorHAnsi" w:cstheme="majorHAnsi"/>
                <w:color w:val="FFFFFF" w:themeColor="background1"/>
                <w:sz w:val="20"/>
                <w:szCs w:val="20"/>
              </w:rPr>
              <w:t>No.</w:t>
            </w:r>
          </w:p>
        </w:tc>
        <w:tc>
          <w:tcPr>
            <w:tcW w:w="0" w:type="dxa"/>
            <w:tcBorders>
              <w:top w:val="single" w:sz="4" w:space="0" w:color="auto"/>
              <w:bottom w:val="single" w:sz="4" w:space="0" w:color="auto"/>
            </w:tcBorders>
            <w:shd w:val="clear" w:color="auto" w:fill="006699"/>
            <w:tcMar>
              <w:top w:w="85" w:type="dxa"/>
              <w:bottom w:w="85" w:type="dxa"/>
            </w:tcMar>
            <w:vAlign w:val="center"/>
          </w:tcPr>
          <w:p w14:paraId="5ED8F16A" w14:textId="6C24CE33"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72753B">
              <w:rPr>
                <w:rFonts w:asciiTheme="majorHAnsi" w:hAnsiTheme="majorHAnsi" w:cstheme="majorHAnsi"/>
                <w:color w:val="FFFFFF" w:themeColor="background1"/>
                <w:sz w:val="20"/>
                <w:szCs w:val="20"/>
              </w:rPr>
              <w:t>Aidworks</w:t>
            </w:r>
            <w:proofErr w:type="spellEnd"/>
            <w:r w:rsidRPr="0072753B">
              <w:rPr>
                <w:rFonts w:asciiTheme="majorHAnsi" w:hAnsiTheme="majorHAnsi" w:cstheme="majorHAnsi"/>
                <w:color w:val="FFFFFF" w:themeColor="background1"/>
                <w:sz w:val="20"/>
                <w:szCs w:val="20"/>
              </w:rPr>
              <w:t xml:space="preserve"> number</w:t>
            </w:r>
          </w:p>
        </w:tc>
        <w:tc>
          <w:tcPr>
            <w:tcW w:w="0" w:type="dxa"/>
            <w:tcBorders>
              <w:top w:val="single" w:sz="4" w:space="0" w:color="auto"/>
              <w:bottom w:val="single" w:sz="4" w:space="0" w:color="auto"/>
            </w:tcBorders>
            <w:shd w:val="clear" w:color="auto" w:fill="006699"/>
            <w:tcMar>
              <w:top w:w="85" w:type="dxa"/>
              <w:bottom w:w="85" w:type="dxa"/>
            </w:tcMar>
            <w:vAlign w:val="center"/>
          </w:tcPr>
          <w:p w14:paraId="43B2612D" w14:textId="1E2706BC"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name and partner</w:t>
            </w:r>
          </w:p>
        </w:tc>
        <w:tc>
          <w:tcPr>
            <w:tcW w:w="0" w:type="dxa"/>
            <w:tcBorders>
              <w:top w:val="single" w:sz="4" w:space="0" w:color="auto"/>
              <w:bottom w:val="single" w:sz="4" w:space="0" w:color="auto"/>
            </w:tcBorders>
            <w:shd w:val="clear" w:color="auto" w:fill="006699"/>
            <w:tcMar>
              <w:top w:w="85" w:type="dxa"/>
              <w:bottom w:w="85" w:type="dxa"/>
            </w:tcMar>
            <w:vAlign w:val="center"/>
          </w:tcPr>
          <w:p w14:paraId="2D46C3E1" w14:textId="60209072"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description</w:t>
            </w:r>
          </w:p>
        </w:tc>
        <w:tc>
          <w:tcPr>
            <w:tcW w:w="0" w:type="dxa"/>
            <w:tcBorders>
              <w:top w:val="single" w:sz="4" w:space="0" w:color="auto"/>
              <w:bottom w:val="single" w:sz="4" w:space="0" w:color="auto"/>
            </w:tcBorders>
            <w:shd w:val="clear" w:color="auto" w:fill="006699"/>
            <w:vAlign w:val="center"/>
          </w:tcPr>
          <w:p w14:paraId="12B22BB1" w14:textId="369B0D58"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Countries</w:t>
            </w:r>
          </w:p>
        </w:tc>
        <w:tc>
          <w:tcPr>
            <w:tcW w:w="0" w:type="dxa"/>
            <w:tcBorders>
              <w:top w:val="single" w:sz="4" w:space="0" w:color="auto"/>
              <w:bottom w:val="single" w:sz="4" w:space="0" w:color="auto"/>
            </w:tcBorders>
            <w:shd w:val="clear" w:color="auto" w:fill="006699"/>
            <w:tcMar>
              <w:top w:w="85" w:type="dxa"/>
              <w:bottom w:w="85" w:type="dxa"/>
            </w:tcMar>
            <w:vAlign w:val="center"/>
          </w:tcPr>
          <w:p w14:paraId="2B1CD2D2" w14:textId="1A037BD4"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Value (AUD) / timeframe</w:t>
            </w:r>
          </w:p>
        </w:tc>
        <w:tc>
          <w:tcPr>
            <w:tcW w:w="0" w:type="dxa"/>
            <w:tcBorders>
              <w:top w:val="single" w:sz="4" w:space="0" w:color="auto"/>
              <w:bottom w:val="single" w:sz="4" w:space="0" w:color="auto"/>
            </w:tcBorders>
            <w:shd w:val="clear" w:color="auto" w:fill="006699"/>
          </w:tcPr>
          <w:p w14:paraId="55DB4202" w14:textId="60B6D965" w:rsidR="00542C5F" w:rsidRPr="0072753B" w:rsidRDefault="00542C5F"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Project status</w:t>
            </w:r>
          </w:p>
        </w:tc>
      </w:tr>
      <w:tr w:rsidR="00C6065B" w:rsidRPr="0072753B" w14:paraId="5A27AC67"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7CBCB255" w14:textId="555A90B8" w:rsidR="00867C15" w:rsidRPr="0072753B" w:rsidRDefault="00867C15"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w:t>
            </w:r>
          </w:p>
        </w:tc>
        <w:tc>
          <w:tcPr>
            <w:tcW w:w="0" w:type="dxa"/>
            <w:tcBorders>
              <w:top w:val="single" w:sz="4" w:space="0" w:color="auto"/>
              <w:bottom w:val="single" w:sz="4" w:space="0" w:color="auto"/>
            </w:tcBorders>
            <w:tcMar>
              <w:top w:w="85" w:type="dxa"/>
              <w:bottom w:w="85" w:type="dxa"/>
            </w:tcMar>
          </w:tcPr>
          <w:p w14:paraId="6E125BD7" w14:textId="7296E13D" w:rsidR="00867C15" w:rsidRPr="0072753B" w:rsidRDefault="00E0220F"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74352</w:t>
            </w:r>
          </w:p>
        </w:tc>
        <w:tc>
          <w:tcPr>
            <w:tcW w:w="0" w:type="dxa"/>
            <w:tcBorders>
              <w:top w:val="single" w:sz="4" w:space="0" w:color="auto"/>
              <w:bottom w:val="single" w:sz="4" w:space="0" w:color="auto"/>
            </w:tcBorders>
            <w:tcMar>
              <w:top w:w="85" w:type="dxa"/>
              <w:bottom w:w="85" w:type="dxa"/>
            </w:tcMar>
          </w:tcPr>
          <w:p w14:paraId="5ED8B5EA"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 Transformative Agenda for Women, Adolescents and Youth in the Pacific: Towards Zero Unmet Need for Planning 2018 - 2022 Phase 1</w:t>
            </w:r>
          </w:p>
          <w:p w14:paraId="248010B0"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15A35C6" w14:textId="2B785EFC" w:rsidR="00867C15" w:rsidRPr="0072753B" w:rsidRDefault="00C53AA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t>
            </w:r>
            <w:r w:rsidR="007B1EB3" w:rsidRPr="0072753B">
              <w:rPr>
                <w:rFonts w:asciiTheme="majorHAnsi" w:hAnsiTheme="majorHAnsi" w:cstheme="majorHAnsi"/>
                <w:sz w:val="20"/>
                <w:szCs w:val="20"/>
              </w:rPr>
              <w:t xml:space="preserve">United Nations Population Fund </w:t>
            </w:r>
            <w:r w:rsidR="00867C15" w:rsidRPr="0072753B">
              <w:rPr>
                <w:rFonts w:asciiTheme="majorHAnsi" w:hAnsiTheme="majorHAnsi" w:cstheme="majorHAnsi"/>
                <w:sz w:val="20"/>
                <w:szCs w:val="20"/>
              </w:rPr>
              <w:t>(UNFPA)</w:t>
            </w:r>
            <w:r w:rsidR="007B1EB3" w:rsidRPr="0072753B">
              <w:rPr>
                <w:rFonts w:asciiTheme="majorHAnsi" w:hAnsiTheme="majorHAnsi" w:cstheme="majorHAnsi"/>
                <w:sz w:val="20"/>
                <w:szCs w:val="20"/>
              </w:rPr>
              <w:t>)</w:t>
            </w:r>
          </w:p>
        </w:tc>
        <w:tc>
          <w:tcPr>
            <w:tcW w:w="0" w:type="dxa"/>
            <w:tcBorders>
              <w:top w:val="single" w:sz="4" w:space="0" w:color="auto"/>
              <w:bottom w:val="single" w:sz="4" w:space="0" w:color="auto"/>
            </w:tcBorders>
            <w:tcMar>
              <w:top w:w="85" w:type="dxa"/>
              <w:bottom w:w="85" w:type="dxa"/>
            </w:tcMar>
          </w:tcPr>
          <w:p w14:paraId="0CCDD1B6" w14:textId="5919A98F" w:rsidR="00867C15" w:rsidRPr="0072753B" w:rsidRDefault="009C6DA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rPr>
              <w:lastRenderedPageBreak/>
              <w:t xml:space="preserve"> </w:t>
            </w:r>
            <w:r w:rsidRPr="0072753B">
              <w:rPr>
                <w:rFonts w:asciiTheme="majorHAnsi" w:hAnsiTheme="majorHAnsi" w:cstheme="majorHAnsi"/>
                <w:sz w:val="20"/>
                <w:szCs w:val="20"/>
              </w:rPr>
              <w:t xml:space="preserve">The project drives transformative change in the lives of women, adolescents, and youth across the Pacific. Through its Transformative Agenda, it outlines actions to increase both the demand for and supply of sexual and reproductive health (SRH) services and information, particularly family </w:t>
            </w:r>
            <w:r w:rsidRPr="0072753B">
              <w:rPr>
                <w:rFonts w:asciiTheme="majorHAnsi" w:hAnsiTheme="majorHAnsi" w:cstheme="majorHAnsi"/>
                <w:sz w:val="20"/>
                <w:szCs w:val="20"/>
              </w:rPr>
              <w:lastRenderedPageBreak/>
              <w:t>planning, while fostering an enabling environment for progress.</w:t>
            </w:r>
          </w:p>
        </w:tc>
        <w:tc>
          <w:tcPr>
            <w:tcW w:w="0" w:type="dxa"/>
            <w:tcBorders>
              <w:top w:val="single" w:sz="4" w:space="0" w:color="auto"/>
              <w:bottom w:val="single" w:sz="4" w:space="0" w:color="auto"/>
            </w:tcBorders>
          </w:tcPr>
          <w:p w14:paraId="4CEDD6D3"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p w14:paraId="5B573225"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3B2B98F2"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12975E26"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5403904D"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27C3B22A"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Vanuatu </w:t>
            </w:r>
          </w:p>
          <w:p w14:paraId="4EF2F25B"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14057B3F"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$7,500,000</w:t>
            </w:r>
          </w:p>
          <w:p w14:paraId="3155CA13"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35F87E" w14:textId="488ABC60"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w:t>
            </w:r>
            <w:r w:rsidR="00E81D7B" w:rsidRPr="0072753B">
              <w:rPr>
                <w:rFonts w:asciiTheme="majorHAnsi" w:hAnsiTheme="majorHAnsi" w:cstheme="majorHAnsi"/>
                <w:sz w:val="20"/>
                <w:szCs w:val="20"/>
              </w:rPr>
              <w:t xml:space="preserve"> 2023</w:t>
            </w:r>
          </w:p>
          <w:p w14:paraId="59487296" w14:textId="77777777"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Pr>
          <w:p w14:paraId="4B60C30D" w14:textId="65375B62" w:rsidR="00867C15" w:rsidRPr="0072753B" w:rsidRDefault="00867C15"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bookmarkEnd w:id="33"/>
      <w:tr w:rsidR="00C6065B" w:rsidRPr="0072753B" w14:paraId="7BD09734" w14:textId="77777777" w:rsidTr="00CA6E7B">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0D58BFE9" w14:textId="77777777"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20C7028C" w14:textId="626EDD89"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77337/9</w:t>
            </w:r>
          </w:p>
        </w:tc>
        <w:tc>
          <w:tcPr>
            <w:tcW w:w="0" w:type="dxa"/>
            <w:tcBorders>
              <w:top w:val="single" w:sz="4" w:space="0" w:color="auto"/>
              <w:bottom w:val="single" w:sz="4" w:space="0" w:color="auto"/>
            </w:tcBorders>
            <w:tcMar>
              <w:top w:w="85" w:type="dxa"/>
              <w:bottom w:w="85" w:type="dxa"/>
            </w:tcMar>
          </w:tcPr>
          <w:p w14:paraId="5235B9B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 Transformative Agenda for Women, Adolescents and Youth in the Pacific: Towards Zero Unmet Need for Planning Phase 2</w:t>
            </w:r>
          </w:p>
          <w:p w14:paraId="72239A3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DB9717B" w14:textId="303A5914" w:rsidR="00C6065B" w:rsidRPr="0072753B" w:rsidRDefault="008B22A3"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(United Nations Population Fund (UNFPA))</w:t>
            </w:r>
          </w:p>
        </w:tc>
        <w:tc>
          <w:tcPr>
            <w:tcW w:w="0" w:type="dxa"/>
            <w:tcBorders>
              <w:top w:val="single" w:sz="4" w:space="0" w:color="auto"/>
              <w:bottom w:val="single" w:sz="4" w:space="0" w:color="auto"/>
            </w:tcBorders>
            <w:tcMar>
              <w:top w:w="85" w:type="dxa"/>
              <w:bottom w:w="85" w:type="dxa"/>
            </w:tcMar>
          </w:tcPr>
          <w:p w14:paraId="1E432D23" w14:textId="674EB9AE"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r w:rsidRPr="0072753B">
              <w:rPr>
                <w:rFonts w:asciiTheme="majorHAnsi" w:hAnsiTheme="majorHAnsi" w:cstheme="majorHAnsi"/>
                <w:sz w:val="20"/>
                <w:szCs w:val="20"/>
              </w:rPr>
              <w:tab/>
            </w:r>
          </w:p>
        </w:tc>
        <w:tc>
          <w:tcPr>
            <w:tcW w:w="0" w:type="dxa"/>
            <w:tcBorders>
              <w:top w:val="single" w:sz="4" w:space="0" w:color="auto"/>
              <w:bottom w:val="single" w:sz="4" w:space="0" w:color="auto"/>
            </w:tcBorders>
          </w:tcPr>
          <w:p w14:paraId="52362C7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0354AC6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626760E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72753B">
              <w:rPr>
                <w:rFonts w:asciiTheme="majorHAnsi" w:hAnsiTheme="majorHAnsi" w:cstheme="majorHAnsi"/>
                <w:sz w:val="20"/>
                <w:szCs w:val="20"/>
              </w:rPr>
              <w:t>Samoa</w:t>
            </w:r>
            <w:r w:rsidRPr="0072753B">
              <w:rPr>
                <w:rFonts w:asciiTheme="majorHAnsi" w:hAnsiTheme="majorHAnsi" w:cstheme="majorHAnsi"/>
                <w:bCs/>
                <w:sz w:val="20"/>
                <w:szCs w:val="20"/>
              </w:rPr>
              <w:t>Solomon</w:t>
            </w:r>
            <w:proofErr w:type="spellEnd"/>
            <w:r w:rsidRPr="0072753B">
              <w:rPr>
                <w:rFonts w:asciiTheme="majorHAnsi" w:hAnsiTheme="majorHAnsi" w:cstheme="majorHAnsi"/>
                <w:bCs/>
                <w:sz w:val="20"/>
                <w:szCs w:val="20"/>
              </w:rPr>
              <w:t xml:space="preserve"> Island</w:t>
            </w:r>
            <w:r w:rsidRPr="0072753B">
              <w:rPr>
                <w:rFonts w:asciiTheme="majorHAnsi" w:hAnsiTheme="majorHAnsi" w:cstheme="majorHAnsi"/>
                <w:sz w:val="20"/>
                <w:szCs w:val="20"/>
              </w:rPr>
              <w:t xml:space="preserve"> Tonga</w:t>
            </w:r>
          </w:p>
          <w:p w14:paraId="32FC9A0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1FAE5D9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12276D10" w14:textId="7F49D354"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tc>
        <w:tc>
          <w:tcPr>
            <w:tcW w:w="0" w:type="dxa"/>
            <w:tcBorders>
              <w:top w:val="single" w:sz="4" w:space="0" w:color="auto"/>
              <w:bottom w:val="single" w:sz="4" w:space="0" w:color="auto"/>
            </w:tcBorders>
            <w:tcMar>
              <w:top w:w="85" w:type="dxa"/>
              <w:bottom w:w="85" w:type="dxa"/>
            </w:tcMar>
          </w:tcPr>
          <w:p w14:paraId="4E3D3D6B" w14:textId="29F04F4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$42,500,000</w:t>
            </w:r>
            <w:r w:rsidR="00A86E19" w:rsidRPr="0072753B">
              <w:rPr>
                <w:rStyle w:val="FootnoteReference"/>
                <w:rFonts w:asciiTheme="majorHAnsi" w:hAnsiTheme="majorHAnsi" w:cstheme="majorHAnsi"/>
                <w:sz w:val="20"/>
                <w:szCs w:val="20"/>
              </w:rPr>
              <w:footnoteReference w:id="10"/>
            </w:r>
          </w:p>
          <w:p w14:paraId="1E6A0E1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D8FAE05" w14:textId="65AC12A6"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 – 2028</w:t>
            </w:r>
          </w:p>
        </w:tc>
        <w:tc>
          <w:tcPr>
            <w:tcW w:w="0" w:type="dxa"/>
            <w:tcBorders>
              <w:top w:val="single" w:sz="4" w:space="0" w:color="auto"/>
              <w:bottom w:val="single" w:sz="4" w:space="0" w:color="auto"/>
            </w:tcBorders>
          </w:tcPr>
          <w:p w14:paraId="5C13B9ED" w14:textId="1554594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3172FCD9"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0DD655B7" w14:textId="4B3578AC"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w:t>
            </w:r>
          </w:p>
        </w:tc>
        <w:tc>
          <w:tcPr>
            <w:tcW w:w="0" w:type="dxa"/>
            <w:tcBorders>
              <w:top w:val="single" w:sz="4" w:space="0" w:color="auto"/>
            </w:tcBorders>
            <w:tcMar>
              <w:top w:w="85" w:type="dxa"/>
              <w:bottom w:w="85" w:type="dxa"/>
            </w:tcMar>
          </w:tcPr>
          <w:p w14:paraId="72A30FC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69294/45</w:t>
            </w:r>
          </w:p>
        </w:tc>
        <w:tc>
          <w:tcPr>
            <w:tcW w:w="0" w:type="dxa"/>
            <w:tcBorders>
              <w:top w:val="single" w:sz="4" w:space="0" w:color="auto"/>
            </w:tcBorders>
            <w:tcMar>
              <w:top w:w="85" w:type="dxa"/>
              <w:bottom w:w="85" w:type="dxa"/>
            </w:tcMar>
          </w:tcPr>
          <w:p w14:paraId="74A1AF11" w14:textId="7B729A0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Building Prosperity for Women Producers, Processors and Women-owned Businesses through Organic Value Chains</w:t>
            </w:r>
            <w:r w:rsidR="008569CA" w:rsidRPr="0072753B">
              <w:rPr>
                <w:rFonts w:asciiTheme="majorHAnsi" w:hAnsiTheme="majorHAnsi" w:cstheme="majorHAnsi"/>
                <w:sz w:val="20"/>
                <w:szCs w:val="20"/>
              </w:rPr>
              <w:t xml:space="preserve"> (</w:t>
            </w:r>
            <w:proofErr w:type="spellStart"/>
            <w:r w:rsidR="008569CA" w:rsidRPr="0072753B">
              <w:rPr>
                <w:rFonts w:asciiTheme="majorHAnsi" w:hAnsiTheme="majorHAnsi" w:cstheme="majorHAnsi"/>
                <w:sz w:val="20"/>
                <w:szCs w:val="20"/>
              </w:rPr>
              <w:t>POETCom</w:t>
            </w:r>
            <w:proofErr w:type="spellEnd"/>
            <w:r w:rsidR="008569CA" w:rsidRPr="0072753B">
              <w:rPr>
                <w:rFonts w:asciiTheme="majorHAnsi" w:hAnsiTheme="majorHAnsi" w:cstheme="majorHAnsi"/>
                <w:sz w:val="20"/>
                <w:szCs w:val="20"/>
              </w:rPr>
              <w:t xml:space="preserve">) </w:t>
            </w:r>
            <w:r w:rsidRPr="0072753B">
              <w:rPr>
                <w:rStyle w:val="FootnoteReference"/>
                <w:rFonts w:asciiTheme="majorHAnsi" w:hAnsiTheme="majorHAnsi" w:cstheme="majorHAnsi"/>
                <w:sz w:val="20"/>
                <w:szCs w:val="20"/>
              </w:rPr>
              <w:footnoteReference w:id="11"/>
            </w:r>
          </w:p>
          <w:p w14:paraId="7D72B5A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C61496" w14:textId="5F9D72E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(Human and Social Development Division - SPC)</w:t>
            </w:r>
          </w:p>
        </w:tc>
        <w:tc>
          <w:tcPr>
            <w:tcW w:w="0" w:type="dxa"/>
            <w:tcBorders>
              <w:top w:val="single" w:sz="4" w:space="0" w:color="auto"/>
            </w:tcBorders>
            <w:tcMar>
              <w:top w:w="85" w:type="dxa"/>
              <w:bottom w:w="85" w:type="dxa"/>
            </w:tcMar>
          </w:tcPr>
          <w:p w14:paraId="3F10B09C" w14:textId="0D69782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strengthened the recognition of women's vital role in organic agriculture by promoting both sustainable farming practices and gender equality and social inclusion (GESI). Through targeted activities, the project raised awareness of women's contributions to organic agriculture, enhanced their access to resources and decision-making processes, and supported initiatives that improved women's economic empowerment in the sector. By integrating GESI principles, the project ensured that women, along with other marginalised groups, had equal </w:t>
            </w:r>
            <w:r w:rsidRPr="0072753B">
              <w:rPr>
                <w:rFonts w:asciiTheme="majorHAnsi" w:hAnsiTheme="majorHAnsi" w:cstheme="majorHAnsi"/>
                <w:sz w:val="20"/>
                <w:szCs w:val="20"/>
              </w:rPr>
              <w:lastRenderedPageBreak/>
              <w:t>opportunities to participate in and benefit from organic agriculture initiatives.</w:t>
            </w:r>
          </w:p>
        </w:tc>
        <w:tc>
          <w:tcPr>
            <w:tcW w:w="0" w:type="dxa"/>
            <w:tcBorders>
              <w:top w:val="single" w:sz="4" w:space="0" w:color="auto"/>
            </w:tcBorders>
          </w:tcPr>
          <w:p w14:paraId="7E541CB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FSM</w:t>
            </w:r>
          </w:p>
          <w:p w14:paraId="7BDECD0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2D6D890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p w14:paraId="5E2D82A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tc>
        <w:tc>
          <w:tcPr>
            <w:tcW w:w="0" w:type="dxa"/>
            <w:tcBorders>
              <w:top w:val="single" w:sz="4" w:space="0" w:color="auto"/>
            </w:tcBorders>
            <w:tcMar>
              <w:top w:w="85" w:type="dxa"/>
              <w:bottom w:w="85" w:type="dxa"/>
            </w:tcMar>
          </w:tcPr>
          <w:p w14:paraId="12FAA06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$965,600</w:t>
            </w:r>
          </w:p>
          <w:p w14:paraId="33E877C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848818E" w14:textId="5334C65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2023</w:t>
            </w:r>
          </w:p>
          <w:p w14:paraId="109F2A7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p w14:paraId="452DA14D" w14:textId="5645E7D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tcBorders>
          </w:tcPr>
          <w:p w14:paraId="0291E10A" w14:textId="3DF43334"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C6065B" w:rsidRPr="0072753B" w14:paraId="13D3D672" w14:textId="77777777" w:rsidTr="00CA6E7B">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BEC8DA0" w14:textId="55B0C33F"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w:t>
            </w:r>
          </w:p>
        </w:tc>
        <w:tc>
          <w:tcPr>
            <w:tcW w:w="0" w:type="dxa"/>
            <w:tcBorders>
              <w:bottom w:val="single" w:sz="4" w:space="0" w:color="auto"/>
            </w:tcBorders>
            <w:tcMar>
              <w:top w:w="85" w:type="dxa"/>
              <w:bottom w:w="85" w:type="dxa"/>
            </w:tcMar>
          </w:tcPr>
          <w:p w14:paraId="7D01F84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72410/14</w:t>
            </w:r>
          </w:p>
          <w:p w14:paraId="4F9ED51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bottom w:val="single" w:sz="4" w:space="0" w:color="auto"/>
            </w:tcBorders>
            <w:tcMar>
              <w:top w:w="85" w:type="dxa"/>
              <w:bottom w:w="85" w:type="dxa"/>
            </w:tcMar>
          </w:tcPr>
          <w:p w14:paraId="1B61EC23" w14:textId="75FFA25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Child Protection Program in Kiribati, Solomon Islands and Vanuatu </w:t>
            </w:r>
            <w:r w:rsidR="005F2D10" w:rsidRPr="0072753B">
              <w:rPr>
                <w:rFonts w:asciiTheme="majorHAnsi" w:hAnsiTheme="majorHAnsi" w:cstheme="majorHAnsi"/>
                <w:sz w:val="20"/>
                <w:szCs w:val="20"/>
              </w:rPr>
              <w:t>Phase 1</w:t>
            </w:r>
          </w:p>
          <w:p w14:paraId="359F1BF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6ACBC34" w14:textId="6B04A08D"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United Nations Children’s Fund (UNICEF))</w:t>
            </w:r>
          </w:p>
        </w:tc>
        <w:tc>
          <w:tcPr>
            <w:tcW w:w="0" w:type="dxa"/>
            <w:tcBorders>
              <w:bottom w:val="single" w:sz="4" w:space="0" w:color="auto"/>
            </w:tcBorders>
            <w:tcMar>
              <w:top w:w="85" w:type="dxa"/>
              <w:bottom w:w="85" w:type="dxa"/>
            </w:tcMar>
          </w:tcPr>
          <w:p w14:paraId="7BBCE74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0" w:type="dxa"/>
            <w:tcBorders>
              <w:bottom w:val="single" w:sz="4" w:space="0" w:color="auto"/>
            </w:tcBorders>
          </w:tcPr>
          <w:p w14:paraId="1901D7E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76C48079" w14:textId="705026F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6B818DB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Borders>
              <w:bottom w:val="single" w:sz="4" w:space="0" w:color="auto"/>
            </w:tcBorders>
            <w:tcMar>
              <w:top w:w="85" w:type="dxa"/>
              <w:bottom w:w="85" w:type="dxa"/>
            </w:tcMar>
          </w:tcPr>
          <w:p w14:paraId="6426140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$3,542,280</w:t>
            </w:r>
          </w:p>
          <w:p w14:paraId="23DAF7B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25E9AB3" w14:textId="57CF689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2024</w:t>
            </w:r>
          </w:p>
        </w:tc>
        <w:tc>
          <w:tcPr>
            <w:tcW w:w="0" w:type="dxa"/>
            <w:tcBorders>
              <w:bottom w:val="single" w:sz="4" w:space="0" w:color="auto"/>
            </w:tcBorders>
          </w:tcPr>
          <w:p w14:paraId="22618FBC" w14:textId="2F31887F"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F44B03" w:rsidRPr="0072753B" w14:paraId="33D7BF43"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0640557E" w14:textId="224A9F44"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6D1C80BD" w14:textId="7A623A5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77336/36</w:t>
            </w:r>
          </w:p>
        </w:tc>
        <w:tc>
          <w:tcPr>
            <w:tcW w:w="0" w:type="dxa"/>
            <w:tcBorders>
              <w:top w:val="single" w:sz="4" w:space="0" w:color="auto"/>
              <w:bottom w:val="single" w:sz="4" w:space="0" w:color="auto"/>
            </w:tcBorders>
            <w:tcMar>
              <w:top w:w="85" w:type="dxa"/>
              <w:bottom w:w="85" w:type="dxa"/>
            </w:tcMar>
          </w:tcPr>
          <w:p w14:paraId="1D781D2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UNICEF Multi-country Pacific Child Protection Program</w:t>
            </w:r>
          </w:p>
          <w:p w14:paraId="16E17808" w14:textId="513D83C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Kiribati, Samoa, Solomon Islands, Tonga, and Vanuatu</w:t>
            </w:r>
            <w:r w:rsidR="00480FA0" w:rsidRPr="0072753B">
              <w:rPr>
                <w:rFonts w:asciiTheme="majorHAnsi" w:hAnsiTheme="majorHAnsi" w:cstheme="majorHAnsi"/>
                <w:sz w:val="20"/>
                <w:szCs w:val="20"/>
              </w:rPr>
              <w:t xml:space="preserve"> Phase 2</w:t>
            </w:r>
          </w:p>
          <w:p w14:paraId="454F1A5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83B4D0" w14:textId="382C8AB0" w:rsidR="00C6065B" w:rsidRPr="0072753B" w:rsidRDefault="00FF3F8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United Nations Children’s Fund (UNICEF))</w:t>
            </w:r>
          </w:p>
        </w:tc>
        <w:tc>
          <w:tcPr>
            <w:tcW w:w="0" w:type="dxa"/>
            <w:tcBorders>
              <w:top w:val="single" w:sz="4" w:space="0" w:color="auto"/>
              <w:bottom w:val="single" w:sz="4" w:space="0" w:color="auto"/>
            </w:tcBorders>
            <w:tcMar>
              <w:top w:w="85" w:type="dxa"/>
              <w:bottom w:w="85" w:type="dxa"/>
            </w:tcMar>
          </w:tcPr>
          <w:p w14:paraId="4CBC8DF7" w14:textId="22998AD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0" w:type="dxa"/>
            <w:tcBorders>
              <w:top w:val="single" w:sz="4" w:space="0" w:color="auto"/>
              <w:bottom w:val="single" w:sz="4" w:space="0" w:color="auto"/>
            </w:tcBorders>
          </w:tcPr>
          <w:p w14:paraId="6BEF211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523BFD4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442CA2C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0ABF51BF" w14:textId="693EE49A"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w:t>
            </w:r>
            <w:r w:rsidR="00FF3F86" w:rsidRPr="0072753B">
              <w:rPr>
                <w:rFonts w:asciiTheme="majorHAnsi" w:hAnsiTheme="majorHAnsi" w:cstheme="majorHAnsi"/>
                <w:sz w:val="20"/>
                <w:szCs w:val="20"/>
              </w:rPr>
              <w:t>s</w:t>
            </w:r>
          </w:p>
          <w:p w14:paraId="1D3993E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789F270D" w14:textId="7B9D7DE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Borders>
              <w:top w:val="single" w:sz="4" w:space="0" w:color="auto"/>
              <w:bottom w:val="single" w:sz="4" w:space="0" w:color="auto"/>
            </w:tcBorders>
            <w:tcMar>
              <w:top w:w="85" w:type="dxa"/>
              <w:bottom w:w="85" w:type="dxa"/>
            </w:tcMar>
          </w:tcPr>
          <w:p w14:paraId="33F8B45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$6,300,000</w:t>
            </w:r>
          </w:p>
          <w:p w14:paraId="4B7B11E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CAA1443" w14:textId="5B34CEEA"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 – 2028</w:t>
            </w:r>
          </w:p>
        </w:tc>
        <w:tc>
          <w:tcPr>
            <w:tcW w:w="0" w:type="dxa"/>
            <w:tcBorders>
              <w:top w:val="single" w:sz="4" w:space="0" w:color="auto"/>
              <w:bottom w:val="single" w:sz="4" w:space="0" w:color="auto"/>
            </w:tcBorders>
          </w:tcPr>
          <w:p w14:paraId="73D80F99" w14:textId="61E69B6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556DE" w:rsidRPr="0072753B" w14:paraId="58DE6EE4" w14:textId="77777777" w:rsidTr="00CA6E7B">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bottom w:val="single" w:sz="4" w:space="0" w:color="auto"/>
            </w:tcBorders>
            <w:tcMar>
              <w:top w:w="85" w:type="dxa"/>
              <w:bottom w:w="85" w:type="dxa"/>
            </w:tcMar>
          </w:tcPr>
          <w:p w14:paraId="077A6D4A" w14:textId="4F344CC7"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4</w:t>
            </w:r>
          </w:p>
        </w:tc>
        <w:tc>
          <w:tcPr>
            <w:tcW w:w="1136" w:type="dxa"/>
            <w:tcBorders>
              <w:top w:val="single" w:sz="4" w:space="0" w:color="auto"/>
              <w:bottom w:val="single" w:sz="4" w:space="0" w:color="auto"/>
            </w:tcBorders>
            <w:tcMar>
              <w:top w:w="85" w:type="dxa"/>
              <w:bottom w:w="85" w:type="dxa"/>
            </w:tcMar>
          </w:tcPr>
          <w:p w14:paraId="7EBF669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77520</w:t>
            </w:r>
          </w:p>
          <w:p w14:paraId="0FCF2C8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91" w:type="dxa"/>
            <w:tcBorders>
              <w:top w:val="single" w:sz="4" w:space="0" w:color="auto"/>
              <w:bottom w:val="single" w:sz="4" w:space="0" w:color="auto"/>
            </w:tcBorders>
            <w:tcMar>
              <w:top w:w="85" w:type="dxa"/>
              <w:bottom w:w="85" w:type="dxa"/>
            </w:tcMar>
          </w:tcPr>
          <w:p w14:paraId="19EC457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Gender responsive Climate Policy and Women’s Climate Leadership in the Pacific </w:t>
            </w:r>
          </w:p>
          <w:p w14:paraId="183264F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0590790" w14:textId="47C0405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(Women’s Environment and Development Organisation)</w:t>
            </w:r>
          </w:p>
        </w:tc>
        <w:tc>
          <w:tcPr>
            <w:tcW w:w="4675" w:type="dxa"/>
            <w:tcBorders>
              <w:top w:val="single" w:sz="4" w:space="0" w:color="auto"/>
              <w:bottom w:val="single" w:sz="4" w:space="0" w:color="auto"/>
            </w:tcBorders>
            <w:tcMar>
              <w:top w:w="85" w:type="dxa"/>
              <w:bottom w:w="85" w:type="dxa"/>
            </w:tcMar>
          </w:tcPr>
          <w:p w14:paraId="52840E5B" w14:textId="5669A80D"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1725" w:type="dxa"/>
            <w:tcBorders>
              <w:top w:val="single" w:sz="4" w:space="0" w:color="auto"/>
              <w:bottom w:val="single" w:sz="4" w:space="0" w:color="auto"/>
            </w:tcBorders>
          </w:tcPr>
          <w:p w14:paraId="2F279A3E" w14:textId="0C2D0100"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w:t>
            </w:r>
            <w:r w:rsidR="00A362FF" w:rsidRPr="0072753B">
              <w:rPr>
                <w:rFonts w:asciiTheme="majorHAnsi" w:hAnsiTheme="majorHAnsi" w:cstheme="majorHAnsi"/>
                <w:sz w:val="20"/>
                <w:szCs w:val="20"/>
              </w:rPr>
              <w:t>s</w:t>
            </w:r>
          </w:p>
          <w:p w14:paraId="1D55068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61E93AB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4B7F7DF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751038A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Nauru</w:t>
            </w:r>
          </w:p>
          <w:p w14:paraId="0A5978C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Niue</w:t>
            </w:r>
          </w:p>
          <w:p w14:paraId="257ACFD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p w14:paraId="738466B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39662F4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202FE5A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6889CFA5" w14:textId="7A2209C4"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w:t>
            </w:r>
            <w:r w:rsidR="00A362FF" w:rsidRPr="0072753B">
              <w:rPr>
                <w:rFonts w:asciiTheme="majorHAnsi" w:hAnsiTheme="majorHAnsi" w:cstheme="majorHAnsi"/>
                <w:sz w:val="20"/>
                <w:szCs w:val="20"/>
              </w:rPr>
              <w:t>s</w:t>
            </w:r>
          </w:p>
          <w:p w14:paraId="09EFCB9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4F61B00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71ABC0E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2087" w:type="dxa"/>
            <w:tcBorders>
              <w:top w:val="single" w:sz="4" w:space="0" w:color="auto"/>
              <w:bottom w:val="single" w:sz="4" w:space="0" w:color="auto"/>
            </w:tcBorders>
            <w:tcMar>
              <w:top w:w="85" w:type="dxa"/>
              <w:bottom w:w="85" w:type="dxa"/>
            </w:tcMar>
          </w:tcPr>
          <w:p w14:paraId="65146A7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$699,900</w:t>
            </w:r>
          </w:p>
          <w:p w14:paraId="5B45E79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D2962D" w14:textId="0F5649CA"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w:t>
            </w:r>
            <w:r w:rsidR="00B137EF"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B137EF" w:rsidRPr="0072753B">
              <w:rPr>
                <w:rFonts w:asciiTheme="majorHAnsi" w:hAnsiTheme="majorHAnsi" w:cstheme="majorHAnsi"/>
                <w:sz w:val="20"/>
                <w:szCs w:val="20"/>
              </w:rPr>
              <w:t xml:space="preserve"> </w:t>
            </w:r>
            <w:r w:rsidRPr="0072753B">
              <w:rPr>
                <w:rFonts w:asciiTheme="majorHAnsi" w:hAnsiTheme="majorHAnsi" w:cstheme="majorHAnsi"/>
                <w:sz w:val="20"/>
                <w:szCs w:val="20"/>
              </w:rPr>
              <w:t>2024</w:t>
            </w:r>
          </w:p>
        </w:tc>
        <w:tc>
          <w:tcPr>
            <w:tcW w:w="1587" w:type="dxa"/>
            <w:tcBorders>
              <w:top w:val="single" w:sz="4" w:space="0" w:color="auto"/>
              <w:bottom w:val="single" w:sz="4" w:space="0" w:color="auto"/>
            </w:tcBorders>
          </w:tcPr>
          <w:p w14:paraId="60D7FBA9" w14:textId="5F820F5E"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F44B03" w:rsidRPr="0072753B" w14:paraId="7B90011F"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30B292F8" w14:textId="790DE20A"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5</w:t>
            </w:r>
          </w:p>
        </w:tc>
        <w:tc>
          <w:tcPr>
            <w:tcW w:w="0" w:type="dxa"/>
            <w:tcBorders>
              <w:top w:val="single" w:sz="4" w:space="0" w:color="auto"/>
            </w:tcBorders>
            <w:tcMar>
              <w:top w:w="85" w:type="dxa"/>
              <w:bottom w:w="85" w:type="dxa"/>
            </w:tcMar>
          </w:tcPr>
          <w:p w14:paraId="4DBD047E" w14:textId="76AB18A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79303</w:t>
            </w:r>
          </w:p>
        </w:tc>
        <w:tc>
          <w:tcPr>
            <w:tcW w:w="0" w:type="dxa"/>
            <w:tcBorders>
              <w:top w:val="single" w:sz="4" w:space="0" w:color="auto"/>
            </w:tcBorders>
            <w:tcMar>
              <w:top w:w="85" w:type="dxa"/>
              <w:bottom w:w="85" w:type="dxa"/>
            </w:tcMar>
          </w:tcPr>
          <w:p w14:paraId="6F1807B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Gender-based Violence Prevention and Response </w:t>
            </w:r>
          </w:p>
          <w:p w14:paraId="67C2628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622BCA" w14:textId="2B90284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(House of Sarah </w:t>
            </w:r>
            <w:r w:rsidR="003236E7" w:rsidRPr="0072753B">
              <w:rPr>
                <w:rFonts w:asciiTheme="majorHAnsi" w:hAnsiTheme="majorHAnsi" w:cstheme="majorHAnsi"/>
                <w:sz w:val="20"/>
                <w:szCs w:val="20"/>
              </w:rPr>
              <w:t>(</w:t>
            </w:r>
            <w:proofErr w:type="spellStart"/>
            <w:r w:rsidR="003236E7" w:rsidRPr="0072753B">
              <w:rPr>
                <w:rFonts w:asciiTheme="majorHAnsi" w:hAnsiTheme="majorHAnsi" w:cstheme="majorHAnsi"/>
                <w:sz w:val="20"/>
                <w:szCs w:val="20"/>
              </w:rPr>
              <w:t>HoS</w:t>
            </w:r>
            <w:proofErr w:type="spellEnd"/>
            <w:r w:rsidR="003236E7" w:rsidRPr="0072753B">
              <w:rPr>
                <w:rFonts w:asciiTheme="majorHAnsi" w:hAnsiTheme="majorHAnsi" w:cstheme="majorHAnsi"/>
                <w:sz w:val="20"/>
                <w:szCs w:val="20"/>
              </w:rPr>
              <w:t>)</w:t>
            </w:r>
            <w:r w:rsidRPr="0072753B">
              <w:rPr>
                <w:rFonts w:asciiTheme="majorHAnsi" w:hAnsiTheme="majorHAnsi" w:cstheme="majorHAnsi"/>
                <w:sz w:val="20"/>
                <w:szCs w:val="20"/>
              </w:rPr>
              <w:t>)</w:t>
            </w:r>
          </w:p>
        </w:tc>
        <w:tc>
          <w:tcPr>
            <w:tcW w:w="0" w:type="dxa"/>
            <w:tcBorders>
              <w:top w:val="single" w:sz="4" w:space="0" w:color="auto"/>
            </w:tcBorders>
            <w:tcMar>
              <w:top w:w="85" w:type="dxa"/>
              <w:bottom w:w="85" w:type="dxa"/>
            </w:tcMar>
          </w:tcPr>
          <w:p w14:paraId="3C36D24E" w14:textId="5464EFC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Top up grant provided by the regional GBV program. The project works to enhance the </w:t>
            </w:r>
            <w:proofErr w:type="spellStart"/>
            <w:r w:rsidRPr="0072753B">
              <w:rPr>
                <w:rFonts w:asciiTheme="majorHAnsi" w:hAnsiTheme="majorHAnsi" w:cstheme="majorHAnsi"/>
                <w:sz w:val="20"/>
                <w:szCs w:val="20"/>
              </w:rPr>
              <w:t>HoS’</w:t>
            </w:r>
            <w:proofErr w:type="spellEnd"/>
            <w:r w:rsidRPr="0072753B">
              <w:rPr>
                <w:rFonts w:asciiTheme="majorHAnsi" w:hAnsiTheme="majorHAnsi" w:cstheme="majorHAnsi"/>
                <w:sz w:val="20"/>
                <w:szCs w:val="20"/>
              </w:rPr>
              <w:t xml:space="preserve"> proven approaches, further solidifying their networking capacity and reach, skilled volunteer workforce, advocacy and awareness raising, and internal policy and processes to change attitudes, values and beliefs that perpetuate VAW among faith-based peoples and promote gender equality.</w:t>
            </w:r>
          </w:p>
        </w:tc>
        <w:tc>
          <w:tcPr>
            <w:tcW w:w="0" w:type="dxa"/>
            <w:tcBorders>
              <w:top w:val="single" w:sz="4" w:space="0" w:color="auto"/>
            </w:tcBorders>
          </w:tcPr>
          <w:p w14:paraId="1E2EBFB9" w14:textId="037A3C74"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tc>
        <w:tc>
          <w:tcPr>
            <w:tcW w:w="0" w:type="dxa"/>
            <w:tcBorders>
              <w:top w:val="single" w:sz="4" w:space="0" w:color="auto"/>
            </w:tcBorders>
            <w:tcMar>
              <w:top w:w="85" w:type="dxa"/>
              <w:bottom w:w="85" w:type="dxa"/>
            </w:tcMar>
          </w:tcPr>
          <w:p w14:paraId="6AEFE51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$334,651</w:t>
            </w:r>
          </w:p>
          <w:p w14:paraId="1034FEF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C2658E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2024 – 2025 </w:t>
            </w:r>
          </w:p>
          <w:p w14:paraId="027DD75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tcBorders>
          </w:tcPr>
          <w:p w14:paraId="30BA710E" w14:textId="62B1254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556DE" w:rsidRPr="0072753B" w14:paraId="559F75A3" w14:textId="77777777" w:rsidTr="00CA6E7B">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7F7F7F" w:themeColor="text1" w:themeTint="80"/>
              <w:bottom w:val="single" w:sz="4" w:space="0" w:color="auto"/>
            </w:tcBorders>
            <w:tcMar>
              <w:top w:w="85" w:type="dxa"/>
              <w:bottom w:w="85" w:type="dxa"/>
            </w:tcMar>
          </w:tcPr>
          <w:p w14:paraId="300AF326" w14:textId="79AF1F4C"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6</w:t>
            </w:r>
          </w:p>
        </w:tc>
        <w:tc>
          <w:tcPr>
            <w:tcW w:w="1136" w:type="dxa"/>
            <w:tcBorders>
              <w:top w:val="single" w:sz="4" w:space="0" w:color="7F7F7F" w:themeColor="text1" w:themeTint="80"/>
              <w:bottom w:val="single" w:sz="4" w:space="0" w:color="auto"/>
            </w:tcBorders>
            <w:tcMar>
              <w:top w:w="85" w:type="dxa"/>
              <w:bottom w:w="85" w:type="dxa"/>
            </w:tcMar>
          </w:tcPr>
          <w:p w14:paraId="2F1ED81D" w14:textId="785C385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79334</w:t>
            </w:r>
          </w:p>
        </w:tc>
        <w:tc>
          <w:tcPr>
            <w:tcW w:w="2191" w:type="dxa"/>
            <w:tcBorders>
              <w:top w:val="single" w:sz="4" w:space="0" w:color="7F7F7F" w:themeColor="text1" w:themeTint="80"/>
              <w:bottom w:val="single" w:sz="4" w:space="0" w:color="auto"/>
            </w:tcBorders>
            <w:tcMar>
              <w:top w:w="85" w:type="dxa"/>
              <w:bottom w:w="85" w:type="dxa"/>
            </w:tcMar>
          </w:tcPr>
          <w:p w14:paraId="2A1DC11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 Gender-Based Violence Prevention and Response</w:t>
            </w:r>
          </w:p>
          <w:p w14:paraId="5368095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55AC2C" w14:textId="3F504910"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(Kiribati Women and Children Crisis Centre </w:t>
            </w:r>
            <w:r w:rsidR="00B01759" w:rsidRPr="0072753B">
              <w:rPr>
                <w:rFonts w:asciiTheme="majorHAnsi" w:hAnsiTheme="majorHAnsi" w:cstheme="majorHAnsi"/>
                <w:sz w:val="20"/>
                <w:szCs w:val="20"/>
              </w:rPr>
              <w:t xml:space="preserve">– </w:t>
            </w:r>
            <w:r w:rsidRPr="0072753B">
              <w:rPr>
                <w:rFonts w:asciiTheme="majorHAnsi" w:hAnsiTheme="majorHAnsi" w:cstheme="majorHAnsi"/>
                <w:sz w:val="20"/>
                <w:szCs w:val="20"/>
              </w:rPr>
              <w:t>KWCSC)</w:t>
            </w:r>
          </w:p>
        </w:tc>
        <w:tc>
          <w:tcPr>
            <w:tcW w:w="4675" w:type="dxa"/>
            <w:tcBorders>
              <w:top w:val="single" w:sz="4" w:space="0" w:color="7F7F7F" w:themeColor="text1" w:themeTint="80"/>
              <w:bottom w:val="single" w:sz="4" w:space="0" w:color="auto"/>
            </w:tcBorders>
            <w:tcMar>
              <w:top w:w="85" w:type="dxa"/>
              <w:bottom w:w="85" w:type="dxa"/>
            </w:tcMar>
          </w:tcPr>
          <w:p w14:paraId="6ABAF371" w14:textId="5405C8A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Top up grant provided by the regional GBV program. The project contributes to the long-term work of KWCSC in accordance with the Strategic Plan 2021-2025. The project aims to strengthen existing programming dedicated to the key strategic outcomes.</w:t>
            </w:r>
            <w:r w:rsidRPr="0072753B">
              <w:rPr>
                <w:rFonts w:asciiTheme="majorHAnsi" w:hAnsiTheme="majorHAnsi" w:cstheme="majorHAnsi"/>
                <w:sz w:val="20"/>
                <w:szCs w:val="20"/>
              </w:rPr>
              <w:tab/>
            </w:r>
          </w:p>
        </w:tc>
        <w:tc>
          <w:tcPr>
            <w:tcW w:w="1725" w:type="dxa"/>
            <w:tcBorders>
              <w:top w:val="single" w:sz="4" w:space="0" w:color="7F7F7F" w:themeColor="text1" w:themeTint="80"/>
              <w:bottom w:val="single" w:sz="4" w:space="0" w:color="auto"/>
            </w:tcBorders>
          </w:tcPr>
          <w:p w14:paraId="211A1FA1" w14:textId="27EE8E16"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tc>
        <w:tc>
          <w:tcPr>
            <w:tcW w:w="2087" w:type="dxa"/>
            <w:tcBorders>
              <w:top w:val="single" w:sz="4" w:space="0" w:color="7F7F7F" w:themeColor="text1" w:themeTint="80"/>
              <w:bottom w:val="single" w:sz="4" w:space="0" w:color="auto"/>
            </w:tcBorders>
            <w:tcMar>
              <w:top w:w="85" w:type="dxa"/>
              <w:bottom w:w="85" w:type="dxa"/>
            </w:tcMar>
          </w:tcPr>
          <w:p w14:paraId="111F6FA3" w14:textId="4AE4340B"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$406,780</w:t>
            </w:r>
          </w:p>
          <w:p w14:paraId="7E0A7AC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23C1458" w14:textId="731632AF"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2024 - 2029</w:t>
            </w:r>
          </w:p>
        </w:tc>
        <w:tc>
          <w:tcPr>
            <w:tcW w:w="1587" w:type="dxa"/>
            <w:tcBorders>
              <w:top w:val="single" w:sz="4" w:space="0" w:color="7F7F7F" w:themeColor="text1" w:themeTint="80"/>
              <w:bottom w:val="single" w:sz="4" w:space="0" w:color="auto"/>
            </w:tcBorders>
          </w:tcPr>
          <w:p w14:paraId="55E537ED" w14:textId="7DB9135A"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C6065B" w:rsidRPr="0072753B" w14:paraId="69B632FB"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0104D5B7" w14:textId="64F2C436"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7</w:t>
            </w:r>
          </w:p>
        </w:tc>
        <w:tc>
          <w:tcPr>
            <w:tcW w:w="0" w:type="dxa"/>
            <w:tcBorders>
              <w:top w:val="single" w:sz="4" w:space="0" w:color="auto"/>
              <w:bottom w:val="single" w:sz="4" w:space="0" w:color="auto"/>
            </w:tcBorders>
            <w:tcMar>
              <w:top w:w="85" w:type="dxa"/>
              <w:bottom w:w="85" w:type="dxa"/>
            </w:tcMar>
          </w:tcPr>
          <w:p w14:paraId="3187884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76940</w:t>
            </w:r>
          </w:p>
        </w:tc>
        <w:tc>
          <w:tcPr>
            <w:tcW w:w="0" w:type="dxa"/>
            <w:tcBorders>
              <w:top w:val="single" w:sz="4" w:space="0" w:color="auto"/>
              <w:bottom w:val="single" w:sz="4" w:space="0" w:color="auto"/>
            </w:tcBorders>
            <w:tcMar>
              <w:top w:w="85" w:type="dxa"/>
              <w:bottom w:w="85" w:type="dxa"/>
            </w:tcMar>
          </w:tcPr>
          <w:p w14:paraId="3784BC01" w14:textId="060FD07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Markets for Change (M4C)</w:t>
            </w:r>
            <w:r w:rsidR="00396EBD" w:rsidRPr="0072753B">
              <w:rPr>
                <w:rFonts w:asciiTheme="majorHAnsi" w:hAnsiTheme="majorHAnsi" w:cstheme="majorHAnsi"/>
                <w:bCs/>
                <w:sz w:val="20"/>
                <w:szCs w:val="20"/>
              </w:rPr>
              <w:t xml:space="preserve"> Project</w:t>
            </w:r>
          </w:p>
          <w:p w14:paraId="7A2D430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35711871"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(UN Women)</w:t>
            </w:r>
          </w:p>
        </w:tc>
        <w:tc>
          <w:tcPr>
            <w:tcW w:w="0" w:type="dxa"/>
            <w:tcBorders>
              <w:top w:val="single" w:sz="4" w:space="0" w:color="auto"/>
              <w:bottom w:val="single" w:sz="4" w:space="0" w:color="auto"/>
            </w:tcBorders>
            <w:tcMar>
              <w:top w:w="85" w:type="dxa"/>
              <w:bottom w:w="85" w:type="dxa"/>
            </w:tcMar>
          </w:tcPr>
          <w:p w14:paraId="4EC38A2E" w14:textId="477399B8"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promotes gender equality and the economic empowerment of market vendors, with specific attention to the needs and aspirations of women market vendors.</w:t>
            </w:r>
          </w:p>
        </w:tc>
        <w:tc>
          <w:tcPr>
            <w:tcW w:w="0" w:type="dxa"/>
            <w:tcBorders>
              <w:top w:val="single" w:sz="4" w:space="0" w:color="auto"/>
              <w:bottom w:val="single" w:sz="4" w:space="0" w:color="auto"/>
            </w:tcBorders>
          </w:tcPr>
          <w:p w14:paraId="3E98EC77"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Fiji</w:t>
            </w:r>
          </w:p>
          <w:p w14:paraId="0BB45E5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Samoa</w:t>
            </w:r>
          </w:p>
          <w:p w14:paraId="2193B933" w14:textId="47A17A0B"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Solomon Is</w:t>
            </w:r>
            <w:r w:rsidR="001B17CB" w:rsidRPr="0072753B">
              <w:rPr>
                <w:rFonts w:asciiTheme="majorHAnsi" w:hAnsiTheme="majorHAnsi" w:cstheme="majorHAnsi"/>
                <w:bCs/>
                <w:sz w:val="20"/>
                <w:szCs w:val="20"/>
              </w:rPr>
              <w:t>lands</w:t>
            </w:r>
          </w:p>
          <w:p w14:paraId="3B34969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Vanuatu</w:t>
            </w:r>
          </w:p>
        </w:tc>
        <w:tc>
          <w:tcPr>
            <w:tcW w:w="0" w:type="dxa"/>
            <w:tcBorders>
              <w:top w:val="single" w:sz="4" w:space="0" w:color="auto"/>
              <w:bottom w:val="single" w:sz="4" w:space="0" w:color="auto"/>
            </w:tcBorders>
            <w:tcMar>
              <w:top w:w="85" w:type="dxa"/>
              <w:bottom w:w="85" w:type="dxa"/>
            </w:tcMar>
          </w:tcPr>
          <w:p w14:paraId="6B82207B" w14:textId="5F8DAEE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$9,951,871</w:t>
            </w:r>
            <w:r w:rsidRPr="0072753B">
              <w:rPr>
                <w:rStyle w:val="FootnoteReference"/>
                <w:rFonts w:asciiTheme="majorHAnsi" w:hAnsiTheme="majorHAnsi" w:cstheme="majorHAnsi"/>
                <w:bCs/>
                <w:sz w:val="20"/>
                <w:szCs w:val="20"/>
              </w:rPr>
              <w:footnoteReference w:id="12"/>
            </w:r>
          </w:p>
          <w:p w14:paraId="7A24F1A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0B4CDD73" w14:textId="6FF809CA"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2022</w:t>
            </w:r>
            <w:r w:rsidR="00396EBD" w:rsidRPr="0072753B">
              <w:rPr>
                <w:rFonts w:asciiTheme="majorHAnsi" w:hAnsiTheme="majorHAnsi" w:cstheme="majorHAnsi"/>
                <w:bCs/>
                <w:sz w:val="20"/>
                <w:szCs w:val="20"/>
              </w:rPr>
              <w:t xml:space="preserve"> </w:t>
            </w:r>
            <w:r w:rsidRPr="0072753B">
              <w:rPr>
                <w:rFonts w:asciiTheme="majorHAnsi" w:hAnsiTheme="majorHAnsi" w:cstheme="majorHAnsi"/>
                <w:bCs/>
                <w:sz w:val="20"/>
                <w:szCs w:val="20"/>
              </w:rPr>
              <w:t>–</w:t>
            </w:r>
            <w:r w:rsidR="00396EBD" w:rsidRPr="0072753B">
              <w:rPr>
                <w:rFonts w:asciiTheme="majorHAnsi" w:hAnsiTheme="majorHAnsi" w:cstheme="majorHAnsi"/>
                <w:bCs/>
                <w:sz w:val="20"/>
                <w:szCs w:val="20"/>
              </w:rPr>
              <w:t xml:space="preserve"> </w:t>
            </w:r>
            <w:r w:rsidRPr="0072753B">
              <w:rPr>
                <w:rFonts w:asciiTheme="majorHAnsi" w:hAnsiTheme="majorHAnsi" w:cstheme="majorHAnsi"/>
                <w:bCs/>
                <w:sz w:val="20"/>
                <w:szCs w:val="20"/>
              </w:rPr>
              <w:t>2026</w:t>
            </w:r>
          </w:p>
        </w:tc>
        <w:tc>
          <w:tcPr>
            <w:tcW w:w="0" w:type="dxa"/>
            <w:tcBorders>
              <w:top w:val="single" w:sz="4" w:space="0" w:color="auto"/>
              <w:bottom w:val="single" w:sz="4" w:space="0" w:color="auto"/>
            </w:tcBorders>
          </w:tcPr>
          <w:p w14:paraId="1ED84405" w14:textId="6BF6213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 xml:space="preserve">Ongoing </w:t>
            </w:r>
          </w:p>
        </w:tc>
      </w:tr>
      <w:tr w:rsidR="00992466" w:rsidRPr="0072753B" w14:paraId="34EF4EAB" w14:textId="77777777" w:rsidTr="00992466">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tcBorders>
            <w:tcMar>
              <w:top w:w="85" w:type="dxa"/>
              <w:bottom w:w="85" w:type="dxa"/>
            </w:tcMar>
          </w:tcPr>
          <w:p w14:paraId="7F3A0C8D" w14:textId="272D48AA"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8</w:t>
            </w:r>
          </w:p>
        </w:tc>
        <w:tc>
          <w:tcPr>
            <w:tcW w:w="1136" w:type="dxa"/>
            <w:tcBorders>
              <w:top w:val="single" w:sz="4" w:space="0" w:color="auto"/>
              <w:bottom w:val="single" w:sz="4" w:space="0" w:color="auto"/>
            </w:tcBorders>
            <w:tcMar>
              <w:top w:w="85" w:type="dxa"/>
              <w:bottom w:w="85" w:type="dxa"/>
            </w:tcMar>
          </w:tcPr>
          <w:p w14:paraId="3709BD4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74843</w:t>
            </w:r>
          </w:p>
          <w:p w14:paraId="71006D9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2191" w:type="dxa"/>
            <w:tcBorders>
              <w:top w:val="single" w:sz="4" w:space="0" w:color="auto"/>
              <w:bottom w:val="single" w:sz="4" w:space="0" w:color="auto"/>
            </w:tcBorders>
            <w:tcMar>
              <w:top w:w="85" w:type="dxa"/>
              <w:bottom w:w="85" w:type="dxa"/>
            </w:tcMar>
          </w:tcPr>
          <w:p w14:paraId="0FFDC002" w14:textId="0D2943DD"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Core Funding to the IPPF Niu Vaka Pacific Strategy (2018 - 2022) Phase 1</w:t>
            </w:r>
          </w:p>
          <w:p w14:paraId="28DC893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87A0B8F" w14:textId="46B1FD9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(International Planned Parenthood Federation -</w:t>
            </w:r>
            <w:r w:rsidR="001D25D8" w:rsidRPr="0072753B">
              <w:rPr>
                <w:rFonts w:asciiTheme="majorHAnsi" w:hAnsiTheme="majorHAnsi" w:cstheme="majorHAnsi"/>
                <w:sz w:val="20"/>
                <w:szCs w:val="20"/>
              </w:rPr>
              <w:t xml:space="preserve"> </w:t>
            </w:r>
            <w:r w:rsidRPr="0072753B">
              <w:rPr>
                <w:rFonts w:asciiTheme="majorHAnsi" w:hAnsiTheme="majorHAnsi" w:cstheme="majorHAnsi"/>
                <w:sz w:val="20"/>
                <w:szCs w:val="20"/>
              </w:rPr>
              <w:t>IPPF)</w:t>
            </w:r>
          </w:p>
        </w:tc>
        <w:tc>
          <w:tcPr>
            <w:tcW w:w="4675" w:type="dxa"/>
            <w:tcBorders>
              <w:top w:val="single" w:sz="4" w:space="0" w:color="auto"/>
              <w:bottom w:val="single" w:sz="4" w:space="0" w:color="auto"/>
            </w:tcBorders>
            <w:tcMar>
              <w:top w:w="85" w:type="dxa"/>
              <w:bottom w:w="85" w:type="dxa"/>
            </w:tcMar>
          </w:tcPr>
          <w:p w14:paraId="3D1A399A" w14:textId="477FD208"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 </w:t>
            </w:r>
            <w:r w:rsidRPr="0072753B">
              <w:rPr>
                <w:rFonts w:asciiTheme="majorHAnsi" w:hAnsiTheme="majorHAnsi" w:cstheme="majorHAnsi"/>
                <w:sz w:val="20"/>
                <w:szCs w:val="20"/>
              </w:rPr>
              <w:tab/>
            </w:r>
            <w:r w:rsidRPr="0072753B">
              <w:rPr>
                <w:rFonts w:asciiTheme="majorHAnsi" w:hAnsiTheme="majorHAnsi" w:cstheme="majorHAnsi"/>
                <w:sz w:val="20"/>
                <w:szCs w:val="20"/>
              </w:rPr>
              <w:tab/>
            </w:r>
          </w:p>
        </w:tc>
        <w:tc>
          <w:tcPr>
            <w:tcW w:w="1725" w:type="dxa"/>
            <w:tcBorders>
              <w:top w:val="single" w:sz="4" w:space="0" w:color="auto"/>
              <w:bottom w:val="single" w:sz="4" w:space="0" w:color="auto"/>
            </w:tcBorders>
          </w:tcPr>
          <w:p w14:paraId="4689C25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Islands</w:t>
            </w:r>
          </w:p>
          <w:p w14:paraId="2DF175F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2346A5C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685357A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6055912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4DAD906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168AA5F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600D3AE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32209BD1" w14:textId="45367C00"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2087" w:type="dxa"/>
            <w:tcBorders>
              <w:top w:val="single" w:sz="4" w:space="0" w:color="auto"/>
              <w:bottom w:val="single" w:sz="4" w:space="0" w:color="auto"/>
            </w:tcBorders>
            <w:tcMar>
              <w:top w:w="85" w:type="dxa"/>
              <w:bottom w:w="85" w:type="dxa"/>
            </w:tcMar>
          </w:tcPr>
          <w:p w14:paraId="200F0C7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$500,000</w:t>
            </w:r>
          </w:p>
          <w:p w14:paraId="7C5CDCB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18CED0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2022</w:t>
            </w:r>
          </w:p>
          <w:p w14:paraId="280676B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1587" w:type="dxa"/>
            <w:tcBorders>
              <w:top w:val="single" w:sz="4" w:space="0" w:color="auto"/>
              <w:bottom w:val="single" w:sz="4" w:space="0" w:color="auto"/>
            </w:tcBorders>
          </w:tcPr>
          <w:p w14:paraId="233C27B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p w14:paraId="1B0549D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r>
      <w:tr w:rsidR="00C6065B" w:rsidRPr="0072753B" w14:paraId="517238F0"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621067CE" w14:textId="77777777"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2A6B446C" w14:textId="59B9A361"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77862</w:t>
            </w:r>
          </w:p>
        </w:tc>
        <w:tc>
          <w:tcPr>
            <w:tcW w:w="0" w:type="dxa"/>
            <w:tcBorders>
              <w:top w:val="single" w:sz="4" w:space="0" w:color="auto"/>
              <w:bottom w:val="single" w:sz="4" w:space="0" w:color="auto"/>
            </w:tcBorders>
            <w:tcMar>
              <w:top w:w="85" w:type="dxa"/>
              <w:bottom w:w="85" w:type="dxa"/>
            </w:tcMar>
          </w:tcPr>
          <w:p w14:paraId="41BDA45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Core funding to the IPPF Global Strategic Framework (22-26) and Pacific Strategy (22-26) Phase 2</w:t>
            </w:r>
          </w:p>
          <w:p w14:paraId="2356913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02C9D00" w14:textId="5C05C98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(International Planned Parenthood Federation -</w:t>
            </w:r>
            <w:r w:rsidR="00D53A7C" w:rsidRPr="0072753B">
              <w:rPr>
                <w:rFonts w:asciiTheme="majorHAnsi" w:hAnsiTheme="majorHAnsi" w:cstheme="majorHAnsi"/>
                <w:sz w:val="20"/>
                <w:szCs w:val="20"/>
              </w:rPr>
              <w:t xml:space="preserve"> </w:t>
            </w:r>
            <w:r w:rsidRPr="0072753B">
              <w:rPr>
                <w:rFonts w:asciiTheme="majorHAnsi" w:hAnsiTheme="majorHAnsi" w:cstheme="majorHAnsi"/>
                <w:sz w:val="20"/>
                <w:szCs w:val="20"/>
              </w:rPr>
              <w:t>IPPF)</w:t>
            </w:r>
          </w:p>
        </w:tc>
        <w:tc>
          <w:tcPr>
            <w:tcW w:w="0" w:type="dxa"/>
            <w:tcBorders>
              <w:top w:val="single" w:sz="4" w:space="0" w:color="auto"/>
              <w:bottom w:val="single" w:sz="4" w:space="0" w:color="auto"/>
            </w:tcBorders>
            <w:tcMar>
              <w:top w:w="85" w:type="dxa"/>
              <w:bottom w:w="85" w:type="dxa"/>
            </w:tcMar>
          </w:tcPr>
          <w:p w14:paraId="7A900AEC" w14:textId="7193C9C4"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0" w:type="dxa"/>
            <w:tcBorders>
              <w:top w:val="single" w:sz="4" w:space="0" w:color="auto"/>
              <w:bottom w:val="single" w:sz="4" w:space="0" w:color="auto"/>
            </w:tcBorders>
          </w:tcPr>
          <w:p w14:paraId="4DB0669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w:t>
            </w:r>
          </w:p>
          <w:p w14:paraId="035C17B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7F06295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2A6D878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46F48561"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2DADBD72"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w:t>
            </w:r>
          </w:p>
          <w:p w14:paraId="7D4984C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087768E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6800897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02FFFEBE" w14:textId="77A747E4"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tc>
        <w:tc>
          <w:tcPr>
            <w:tcW w:w="0" w:type="dxa"/>
            <w:tcBorders>
              <w:top w:val="single" w:sz="4" w:space="0" w:color="auto"/>
              <w:bottom w:val="single" w:sz="4" w:space="0" w:color="auto"/>
            </w:tcBorders>
            <w:tcMar>
              <w:top w:w="85" w:type="dxa"/>
              <w:bottom w:w="85" w:type="dxa"/>
            </w:tcMar>
          </w:tcPr>
          <w:p w14:paraId="677DDA9B"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$2,000,000</w:t>
            </w:r>
          </w:p>
          <w:p w14:paraId="623851F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5AE1D0C"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2023 – 2026</w:t>
            </w:r>
          </w:p>
          <w:p w14:paraId="31DC6E01"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Pr>
          <w:p w14:paraId="7074F1EE" w14:textId="239D097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5F318D9D" w14:textId="77777777" w:rsidTr="00CA6E7B">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30A6B481" w14:textId="6C435D2D"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9</w:t>
            </w:r>
          </w:p>
        </w:tc>
        <w:tc>
          <w:tcPr>
            <w:tcW w:w="0" w:type="dxa"/>
            <w:tcBorders>
              <w:top w:val="single" w:sz="4" w:space="0" w:color="auto"/>
              <w:bottom w:val="single" w:sz="4" w:space="0" w:color="auto"/>
            </w:tcBorders>
            <w:tcMar>
              <w:top w:w="85" w:type="dxa"/>
              <w:bottom w:w="85" w:type="dxa"/>
            </w:tcMar>
          </w:tcPr>
          <w:p w14:paraId="06678BD0" w14:textId="6CFA41D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77557</w:t>
            </w:r>
          </w:p>
        </w:tc>
        <w:tc>
          <w:tcPr>
            <w:tcW w:w="0" w:type="dxa"/>
            <w:tcBorders>
              <w:top w:val="single" w:sz="4" w:space="0" w:color="auto"/>
              <w:bottom w:val="single" w:sz="4" w:space="0" w:color="auto"/>
            </w:tcBorders>
            <w:tcMar>
              <w:top w:w="85" w:type="dxa"/>
              <w:bottom w:w="85" w:type="dxa"/>
            </w:tcMar>
          </w:tcPr>
          <w:p w14:paraId="59ED310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Oceania Rise Rugby Project Phase 1</w:t>
            </w:r>
            <w:r w:rsidRPr="0072753B">
              <w:rPr>
                <w:rFonts w:asciiTheme="majorHAnsi" w:hAnsiTheme="majorHAnsi" w:cstheme="majorHAnsi"/>
                <w:sz w:val="20"/>
                <w:szCs w:val="20"/>
              </w:rPr>
              <w:tab/>
            </w:r>
          </w:p>
          <w:p w14:paraId="37CEF63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6B60F6" w14:textId="38DD0AE6"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(Rugby Australia)</w:t>
            </w:r>
          </w:p>
        </w:tc>
        <w:tc>
          <w:tcPr>
            <w:tcW w:w="0" w:type="dxa"/>
            <w:tcBorders>
              <w:top w:val="single" w:sz="4" w:space="0" w:color="auto"/>
              <w:bottom w:val="single" w:sz="4" w:space="0" w:color="auto"/>
            </w:tcBorders>
            <w:tcMar>
              <w:top w:w="85" w:type="dxa"/>
              <w:bottom w:w="85" w:type="dxa"/>
            </w:tcMar>
          </w:tcPr>
          <w:p w14:paraId="2B739243" w14:textId="12F7F858"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promotes gender equality in Pacific rugby through leadership, competitions, and governance. It seeks to establish new senior management positions for women, develop </w:t>
            </w:r>
            <w:r w:rsidRPr="0072753B">
              <w:rPr>
                <w:rFonts w:asciiTheme="majorHAnsi" w:hAnsiTheme="majorHAnsi" w:cstheme="majorHAnsi"/>
                <w:sz w:val="20"/>
                <w:szCs w:val="20"/>
              </w:rPr>
              <w:lastRenderedPageBreak/>
              <w:t>national women’s competitions in Fiji, Solomon Islands, and Tonga, and support leadership training. Regional initiatives will include building a Women in Rugby Network, delivering governance training, and developing shared resources. The project is designed to enhance pathways for women’s participation and visibility, strengthen institutional capacity, and foster sustainable development in rugby across the Pacific, with ongoing support from the Australian government.</w:t>
            </w:r>
          </w:p>
        </w:tc>
        <w:tc>
          <w:tcPr>
            <w:tcW w:w="0" w:type="dxa"/>
            <w:tcBorders>
              <w:top w:val="single" w:sz="4" w:space="0" w:color="auto"/>
              <w:bottom w:val="single" w:sz="4" w:space="0" w:color="auto"/>
            </w:tcBorders>
          </w:tcPr>
          <w:p w14:paraId="4403FF2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p w14:paraId="6861785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7E52089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0BBEE677" w14:textId="2C1FFC58"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0" w:type="dxa"/>
            <w:tcBorders>
              <w:top w:val="single" w:sz="4" w:space="0" w:color="auto"/>
              <w:bottom w:val="single" w:sz="4" w:space="0" w:color="auto"/>
            </w:tcBorders>
            <w:tcMar>
              <w:top w:w="85" w:type="dxa"/>
              <w:bottom w:w="85" w:type="dxa"/>
            </w:tcMar>
          </w:tcPr>
          <w:p w14:paraId="152B75EA" w14:textId="7E1519E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$2,933,000</w:t>
            </w:r>
          </w:p>
          <w:p w14:paraId="3F57426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59C19B4" w14:textId="119B9D06"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 – 2024</w:t>
            </w:r>
          </w:p>
        </w:tc>
        <w:tc>
          <w:tcPr>
            <w:tcW w:w="0" w:type="dxa"/>
            <w:tcBorders>
              <w:top w:val="single" w:sz="4" w:space="0" w:color="auto"/>
              <w:bottom w:val="single" w:sz="4" w:space="0" w:color="auto"/>
            </w:tcBorders>
          </w:tcPr>
          <w:p w14:paraId="4092EA41" w14:textId="18CF1BA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tc>
      </w:tr>
      <w:tr w:rsidR="00C6065B" w:rsidRPr="0072753B" w14:paraId="57D42BA7"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31E3652" w14:textId="77777777"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4916B74A" w14:textId="77777777" w:rsidR="00C6065B" w:rsidRPr="0072753B" w:rsidDel="002C5798"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336AC6E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Rise Rugby Phase 2 </w:t>
            </w:r>
          </w:p>
          <w:p w14:paraId="225CCA4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826103" w14:textId="5CC9018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(Oceania Rugby)</w:t>
            </w:r>
          </w:p>
        </w:tc>
        <w:tc>
          <w:tcPr>
            <w:tcW w:w="0" w:type="dxa"/>
            <w:tcBorders>
              <w:top w:val="single" w:sz="4" w:space="0" w:color="auto"/>
              <w:bottom w:val="single" w:sz="4" w:space="0" w:color="auto"/>
            </w:tcBorders>
            <w:tcMar>
              <w:top w:w="85" w:type="dxa"/>
              <w:bottom w:w="85" w:type="dxa"/>
            </w:tcMar>
          </w:tcPr>
          <w:p w14:paraId="2FD05C60" w14:textId="041AA5CB"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Phase Two of Rise Rugby will accelerate gender equality in Pacific rugby by strengthening women’s leadership, governance, competitions, and visibility. Building on Phase One, it will sustain senior management roles for women in rugby organisations, expand national women’s competitions in Fiji, Samoa, Solomon Islands, and Tonga, and deliver targeted training for emerging female leaders. At a regional level, a new Communications and Media Program will build women’s capacity in storytelling, media, and digital engagement, raising visibility and commercial opportunities. The Women in Rugby Network will be reconfigured to better reflect evolving needs, while a new Women’s Rugby Committee will provide structured guidance, stronger representation, and a sustainable governance voice for women across the Pacific.</w:t>
            </w:r>
          </w:p>
        </w:tc>
        <w:tc>
          <w:tcPr>
            <w:tcW w:w="0" w:type="dxa"/>
            <w:tcBorders>
              <w:top w:val="single" w:sz="4" w:space="0" w:color="auto"/>
              <w:bottom w:val="single" w:sz="4" w:space="0" w:color="auto"/>
            </w:tcBorders>
          </w:tcPr>
          <w:p w14:paraId="5213C56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5B8952B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3E3817B1"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67748FC3" w14:textId="08F1C4E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0" w:type="dxa"/>
            <w:tcBorders>
              <w:top w:val="single" w:sz="4" w:space="0" w:color="auto"/>
              <w:bottom w:val="single" w:sz="4" w:space="0" w:color="auto"/>
            </w:tcBorders>
            <w:tcMar>
              <w:top w:w="85" w:type="dxa"/>
              <w:bottom w:w="85" w:type="dxa"/>
            </w:tcMar>
          </w:tcPr>
          <w:p w14:paraId="3E1AD4F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$2,974,500</w:t>
            </w:r>
          </w:p>
          <w:p w14:paraId="2667D5E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DBC1137" w14:textId="7886BDA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2025 – 2027</w:t>
            </w:r>
          </w:p>
        </w:tc>
        <w:tc>
          <w:tcPr>
            <w:tcW w:w="0" w:type="dxa"/>
            <w:tcBorders>
              <w:top w:val="single" w:sz="4" w:space="0" w:color="auto"/>
              <w:bottom w:val="single" w:sz="4" w:space="0" w:color="auto"/>
            </w:tcBorders>
          </w:tcPr>
          <w:p w14:paraId="32ED61F8" w14:textId="6426F10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6BB7EA89" w14:textId="77777777" w:rsidTr="00CA6E7B">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D970E4C" w14:textId="24055E38"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10</w:t>
            </w:r>
          </w:p>
        </w:tc>
        <w:tc>
          <w:tcPr>
            <w:tcW w:w="0" w:type="dxa"/>
            <w:tcBorders>
              <w:top w:val="single" w:sz="4" w:space="0" w:color="auto"/>
              <w:bottom w:val="single" w:sz="4" w:space="0" w:color="auto"/>
            </w:tcBorders>
            <w:tcMar>
              <w:top w:w="85" w:type="dxa"/>
              <w:bottom w:w="85" w:type="dxa"/>
            </w:tcMar>
          </w:tcPr>
          <w:p w14:paraId="170C3F8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76569</w:t>
            </w:r>
          </w:p>
        </w:tc>
        <w:tc>
          <w:tcPr>
            <w:tcW w:w="0" w:type="dxa"/>
            <w:tcBorders>
              <w:top w:val="single" w:sz="4" w:space="0" w:color="auto"/>
              <w:bottom w:val="single" w:sz="4" w:space="0" w:color="auto"/>
            </w:tcBorders>
            <w:tcMar>
              <w:top w:w="85" w:type="dxa"/>
              <w:bottom w:w="85" w:type="dxa"/>
            </w:tcMar>
          </w:tcPr>
          <w:p w14:paraId="5F52900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Pilot Pacific Women's Sports Administration Program Phase 1</w:t>
            </w:r>
          </w:p>
          <w:p w14:paraId="550F18E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BED96D9" w14:textId="357ED49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(Netball Australia)</w:t>
            </w:r>
          </w:p>
        </w:tc>
        <w:tc>
          <w:tcPr>
            <w:tcW w:w="0" w:type="dxa"/>
            <w:tcBorders>
              <w:top w:val="single" w:sz="4" w:space="0" w:color="auto"/>
              <w:bottom w:val="single" w:sz="4" w:space="0" w:color="auto"/>
            </w:tcBorders>
            <w:tcMar>
              <w:top w:w="85" w:type="dxa"/>
              <w:bottom w:w="85" w:type="dxa"/>
            </w:tcMar>
          </w:tcPr>
          <w:p w14:paraId="74C0F23F" w14:textId="48B684F5"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The project focuses on governance and administration support, recognising that this enables netball associations to advance </w:t>
            </w:r>
            <w:r w:rsidRPr="0072753B">
              <w:rPr>
                <w:rFonts w:asciiTheme="majorHAnsi" w:hAnsiTheme="majorHAnsi" w:cstheme="majorHAnsi"/>
                <w:sz w:val="20"/>
                <w:szCs w:val="20"/>
              </w:rPr>
              <w:lastRenderedPageBreak/>
              <w:t xml:space="preserve">women in decision-making and leadership roles and their effectiveness in those roles. </w:t>
            </w:r>
          </w:p>
        </w:tc>
        <w:tc>
          <w:tcPr>
            <w:tcW w:w="0" w:type="dxa"/>
            <w:tcBorders>
              <w:top w:val="single" w:sz="4" w:space="0" w:color="auto"/>
              <w:bottom w:val="single" w:sz="4" w:space="0" w:color="auto"/>
            </w:tcBorders>
          </w:tcPr>
          <w:p w14:paraId="291A5EE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p w14:paraId="73B7EC9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71FBE51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6790C95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tc>
        <w:tc>
          <w:tcPr>
            <w:tcW w:w="0" w:type="dxa"/>
            <w:tcBorders>
              <w:top w:val="single" w:sz="4" w:space="0" w:color="auto"/>
              <w:bottom w:val="single" w:sz="4" w:space="0" w:color="auto"/>
            </w:tcBorders>
            <w:tcMar>
              <w:top w:w="85" w:type="dxa"/>
              <w:bottom w:w="85" w:type="dxa"/>
            </w:tcMar>
          </w:tcPr>
          <w:p w14:paraId="3888358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$1,638,600</w:t>
            </w:r>
          </w:p>
          <w:p w14:paraId="5C79E3E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B29757A" w14:textId="3CB1FE4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2024</w:t>
            </w:r>
          </w:p>
          <w:p w14:paraId="108CB1A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086F49C" w14:textId="4E67956D"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Borders>
              <w:top w:val="single" w:sz="4" w:space="0" w:color="auto"/>
              <w:bottom w:val="single" w:sz="4" w:space="0" w:color="auto"/>
            </w:tcBorders>
          </w:tcPr>
          <w:p w14:paraId="5462C1F6" w14:textId="76DC5049"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Completed</w:t>
            </w:r>
          </w:p>
        </w:tc>
      </w:tr>
      <w:tr w:rsidR="00C6065B" w:rsidRPr="0072753B" w14:paraId="38B98E76"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0AF3040A" w14:textId="77777777"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27EEA2F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auto"/>
            </w:tcBorders>
            <w:tcMar>
              <w:top w:w="85" w:type="dxa"/>
              <w:bottom w:w="85" w:type="dxa"/>
            </w:tcMar>
          </w:tcPr>
          <w:p w14:paraId="561C693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Netball’s Ocean of Power - Strength in Every Wave</w:t>
            </w:r>
          </w:p>
          <w:p w14:paraId="1AFCEAC7"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Phase 2</w:t>
            </w:r>
            <w:r w:rsidRPr="0072753B">
              <w:rPr>
                <w:rFonts w:asciiTheme="majorHAnsi" w:hAnsiTheme="majorHAnsi" w:cstheme="majorHAnsi"/>
                <w:sz w:val="20"/>
                <w:szCs w:val="20"/>
              </w:rPr>
              <w:tab/>
            </w:r>
          </w:p>
          <w:p w14:paraId="73C78392"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8EFA176" w14:textId="480F697B"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(Netball Australia)</w:t>
            </w:r>
          </w:p>
        </w:tc>
        <w:tc>
          <w:tcPr>
            <w:tcW w:w="0" w:type="dxa"/>
            <w:tcBorders>
              <w:top w:val="single" w:sz="4" w:space="0" w:color="auto"/>
              <w:bottom w:val="single" w:sz="4" w:space="0" w:color="auto"/>
            </w:tcBorders>
            <w:tcMar>
              <w:top w:w="85" w:type="dxa"/>
              <w:bottom w:w="85" w:type="dxa"/>
            </w:tcMar>
          </w:tcPr>
          <w:p w14:paraId="6C11EA05" w14:textId="124E6DD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The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r w:rsidRPr="0072753B">
              <w:rPr>
                <w:rFonts w:asciiTheme="majorHAnsi" w:hAnsiTheme="majorHAnsi" w:cstheme="majorHAnsi"/>
                <w:sz w:val="20"/>
                <w:szCs w:val="20"/>
              </w:rPr>
              <w:tab/>
            </w:r>
          </w:p>
        </w:tc>
        <w:tc>
          <w:tcPr>
            <w:tcW w:w="0" w:type="dxa"/>
            <w:tcBorders>
              <w:top w:val="single" w:sz="4" w:space="0" w:color="auto"/>
              <w:bottom w:val="single" w:sz="4" w:space="0" w:color="auto"/>
            </w:tcBorders>
          </w:tcPr>
          <w:p w14:paraId="65D7FED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2A5820A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11E9500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r w:rsidRPr="0072753B">
              <w:rPr>
                <w:rFonts w:asciiTheme="majorHAnsi" w:hAnsiTheme="majorHAnsi" w:cstheme="majorHAnsi"/>
                <w:sz w:val="20"/>
                <w:szCs w:val="20"/>
              </w:rPr>
              <w:br/>
              <w:t xml:space="preserve">Tonga </w:t>
            </w:r>
            <w:r w:rsidRPr="0072753B">
              <w:rPr>
                <w:rFonts w:asciiTheme="majorHAnsi" w:hAnsiTheme="majorHAnsi" w:cstheme="majorHAnsi"/>
                <w:sz w:val="20"/>
                <w:szCs w:val="20"/>
              </w:rPr>
              <w:tab/>
            </w:r>
          </w:p>
          <w:p w14:paraId="064BA237"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auto"/>
            </w:tcBorders>
            <w:tcMar>
              <w:top w:w="85" w:type="dxa"/>
              <w:bottom w:w="85" w:type="dxa"/>
            </w:tcMar>
          </w:tcPr>
          <w:p w14:paraId="3EB0009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$2,403,991.70</w:t>
            </w:r>
          </w:p>
          <w:p w14:paraId="0112CDB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9AD280" w14:textId="26C810A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 xml:space="preserve">2024 </w:t>
            </w:r>
            <w:r w:rsidR="00B45E25" w:rsidRPr="0072753B">
              <w:rPr>
                <w:rFonts w:asciiTheme="majorHAnsi" w:hAnsiTheme="majorHAnsi" w:cstheme="majorHAnsi"/>
                <w:sz w:val="20"/>
                <w:szCs w:val="20"/>
              </w:rPr>
              <w:t>–</w:t>
            </w:r>
            <w:r w:rsidRPr="0072753B">
              <w:rPr>
                <w:rFonts w:asciiTheme="majorHAnsi" w:hAnsiTheme="majorHAnsi" w:cstheme="majorHAnsi"/>
                <w:sz w:val="20"/>
                <w:szCs w:val="20"/>
              </w:rPr>
              <w:t xml:space="preserve"> 2026</w:t>
            </w:r>
            <w:r w:rsidR="00B45E25" w:rsidRPr="0072753B">
              <w:rPr>
                <w:rFonts w:asciiTheme="majorHAnsi" w:hAnsiTheme="majorHAnsi" w:cstheme="majorHAnsi"/>
                <w:sz w:val="20"/>
                <w:szCs w:val="20"/>
              </w:rPr>
              <w:t xml:space="preserve"> </w:t>
            </w:r>
          </w:p>
        </w:tc>
        <w:tc>
          <w:tcPr>
            <w:tcW w:w="0" w:type="dxa"/>
            <w:tcBorders>
              <w:top w:val="single" w:sz="4" w:space="0" w:color="auto"/>
              <w:bottom w:val="single" w:sz="4" w:space="0" w:color="auto"/>
            </w:tcBorders>
          </w:tcPr>
          <w:p w14:paraId="348A4D05" w14:textId="736A371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Ongoing</w:t>
            </w:r>
          </w:p>
        </w:tc>
      </w:tr>
      <w:tr w:rsidR="00C6065B" w:rsidRPr="0072753B" w14:paraId="77BDEE25" w14:textId="77777777" w:rsidTr="00CA6E7B">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1996FB27" w14:textId="3A39EE99"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11</w:t>
            </w:r>
          </w:p>
        </w:tc>
        <w:tc>
          <w:tcPr>
            <w:tcW w:w="0" w:type="dxa"/>
            <w:tcBorders>
              <w:top w:val="single" w:sz="4" w:space="0" w:color="auto"/>
              <w:bottom w:val="single" w:sz="4" w:space="0" w:color="auto"/>
            </w:tcBorders>
            <w:tcMar>
              <w:top w:w="85" w:type="dxa"/>
              <w:bottom w:w="85" w:type="dxa"/>
            </w:tcMar>
          </w:tcPr>
          <w:p w14:paraId="023BEAA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77821</w:t>
            </w:r>
          </w:p>
          <w:p w14:paraId="502DD5D8" w14:textId="5DE3AB9F"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4FA5ADC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Emerging onto the World Stage - Tennis Australia Women and Girls Pacific Extension</w:t>
            </w:r>
          </w:p>
          <w:p w14:paraId="2207C1F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09718EAC" w14:textId="1EA842E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(Tennis Australia)</w:t>
            </w:r>
          </w:p>
        </w:tc>
        <w:tc>
          <w:tcPr>
            <w:tcW w:w="0" w:type="dxa"/>
            <w:tcBorders>
              <w:top w:val="single" w:sz="4" w:space="0" w:color="auto"/>
              <w:bottom w:val="single" w:sz="4" w:space="0" w:color="auto"/>
            </w:tcBorders>
            <w:tcMar>
              <w:top w:w="85" w:type="dxa"/>
              <w:bottom w:w="85" w:type="dxa"/>
            </w:tcMar>
          </w:tcPr>
          <w:p w14:paraId="647B0FBC" w14:textId="2C472D8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 xml:space="preserve">The project increases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  </w:t>
            </w:r>
          </w:p>
        </w:tc>
        <w:tc>
          <w:tcPr>
            <w:tcW w:w="0" w:type="dxa"/>
            <w:tcBorders>
              <w:top w:val="single" w:sz="4" w:space="0" w:color="auto"/>
              <w:bottom w:val="single" w:sz="4" w:space="0" w:color="auto"/>
            </w:tcBorders>
          </w:tcPr>
          <w:p w14:paraId="2A45417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Fiji</w:t>
            </w:r>
          </w:p>
          <w:p w14:paraId="3DEE4F7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PNG</w:t>
            </w:r>
          </w:p>
          <w:p w14:paraId="7A6BA07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Samoa</w:t>
            </w:r>
          </w:p>
          <w:p w14:paraId="6017826D" w14:textId="0220974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Solomon Island Vanuatu</w:t>
            </w:r>
          </w:p>
        </w:tc>
        <w:tc>
          <w:tcPr>
            <w:tcW w:w="0" w:type="dxa"/>
            <w:tcBorders>
              <w:top w:val="single" w:sz="4" w:space="0" w:color="auto"/>
              <w:bottom w:val="single" w:sz="4" w:space="0" w:color="auto"/>
            </w:tcBorders>
            <w:tcMar>
              <w:top w:w="85" w:type="dxa"/>
              <w:bottom w:w="85" w:type="dxa"/>
            </w:tcMar>
          </w:tcPr>
          <w:p w14:paraId="1418660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$1,111,000</w:t>
            </w:r>
          </w:p>
          <w:p w14:paraId="070E0EB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00F3755B" w14:textId="5DE01598"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2022 – 2026</w:t>
            </w:r>
          </w:p>
        </w:tc>
        <w:tc>
          <w:tcPr>
            <w:tcW w:w="0" w:type="dxa"/>
            <w:tcBorders>
              <w:top w:val="single" w:sz="4" w:space="0" w:color="auto"/>
              <w:bottom w:val="single" w:sz="4" w:space="0" w:color="auto"/>
            </w:tcBorders>
          </w:tcPr>
          <w:p w14:paraId="16E9CACD" w14:textId="6112FCEF"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bCs/>
                <w:sz w:val="20"/>
                <w:szCs w:val="20"/>
              </w:rPr>
              <w:t>Ongoing</w:t>
            </w:r>
          </w:p>
        </w:tc>
      </w:tr>
      <w:tr w:rsidR="00C6065B" w:rsidRPr="0072753B" w14:paraId="3A7493D2"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21B9915E" w14:textId="0CD90CD3"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12</w:t>
            </w:r>
          </w:p>
        </w:tc>
        <w:tc>
          <w:tcPr>
            <w:tcW w:w="0" w:type="dxa"/>
            <w:tcBorders>
              <w:top w:val="single" w:sz="4" w:space="0" w:color="auto"/>
              <w:bottom w:val="single" w:sz="4" w:space="0" w:color="auto"/>
            </w:tcBorders>
            <w:tcMar>
              <w:top w:w="85" w:type="dxa"/>
              <w:bottom w:w="85" w:type="dxa"/>
            </w:tcMar>
          </w:tcPr>
          <w:p w14:paraId="670A780C" w14:textId="5FBA6E1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79852</w:t>
            </w:r>
          </w:p>
        </w:tc>
        <w:tc>
          <w:tcPr>
            <w:tcW w:w="0" w:type="dxa"/>
            <w:tcBorders>
              <w:top w:val="single" w:sz="4" w:space="0" w:color="auto"/>
              <w:bottom w:val="single" w:sz="4" w:space="0" w:color="auto"/>
            </w:tcBorders>
            <w:tcMar>
              <w:top w:w="85" w:type="dxa"/>
              <w:bottom w:w="85" w:type="dxa"/>
            </w:tcMar>
          </w:tcPr>
          <w:p w14:paraId="356A50C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Women's Sports Administration Program - Basketball Pacific</w:t>
            </w:r>
          </w:p>
          <w:p w14:paraId="40FC7DA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AC4758" w14:textId="31D2AAA1"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(FIBA Oceania)</w:t>
            </w:r>
          </w:p>
        </w:tc>
        <w:tc>
          <w:tcPr>
            <w:tcW w:w="0" w:type="dxa"/>
            <w:tcBorders>
              <w:top w:val="single" w:sz="4" w:space="0" w:color="auto"/>
              <w:bottom w:val="single" w:sz="4" w:space="0" w:color="auto"/>
            </w:tcBorders>
            <w:tcMar>
              <w:top w:w="85" w:type="dxa"/>
              <w:bottom w:w="85" w:type="dxa"/>
            </w:tcMar>
          </w:tcPr>
          <w:p w14:paraId="4739AC6C" w14:textId="269E674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increases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0" w:type="dxa"/>
            <w:tcBorders>
              <w:top w:val="single" w:sz="4" w:space="0" w:color="auto"/>
              <w:bottom w:val="single" w:sz="4" w:space="0" w:color="auto"/>
            </w:tcBorders>
          </w:tcPr>
          <w:p w14:paraId="36A83EB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Fiji, </w:t>
            </w:r>
          </w:p>
          <w:p w14:paraId="4033FD5D" w14:textId="70B69DC8"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3357BF27"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5E2921A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Vanuatu, </w:t>
            </w:r>
          </w:p>
          <w:p w14:paraId="2673393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Kiribati, </w:t>
            </w:r>
          </w:p>
          <w:p w14:paraId="3D2AAC57" w14:textId="08E0784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Marshall Islands</w:t>
            </w:r>
          </w:p>
          <w:p w14:paraId="5556DD1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5969A829" w14:textId="75E4893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Samoa, </w:t>
            </w:r>
          </w:p>
          <w:p w14:paraId="0A988095" w14:textId="25EDE49E" w:rsidR="00C6065B" w:rsidRPr="0072753B" w:rsidRDefault="001517B4"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tc>
        <w:tc>
          <w:tcPr>
            <w:tcW w:w="0" w:type="dxa"/>
            <w:tcBorders>
              <w:top w:val="single" w:sz="4" w:space="0" w:color="auto"/>
              <w:bottom w:val="single" w:sz="4" w:space="0" w:color="auto"/>
            </w:tcBorders>
            <w:tcMar>
              <w:top w:w="85" w:type="dxa"/>
              <w:bottom w:w="85" w:type="dxa"/>
            </w:tcMar>
          </w:tcPr>
          <w:p w14:paraId="3B99657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$800,000</w:t>
            </w:r>
          </w:p>
          <w:p w14:paraId="392155B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898356" w14:textId="32684D9A"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2024 </w:t>
            </w:r>
            <w:r w:rsidR="00D4206D" w:rsidRPr="0072753B">
              <w:rPr>
                <w:rFonts w:asciiTheme="majorHAnsi" w:hAnsiTheme="majorHAnsi" w:cstheme="majorHAnsi"/>
                <w:sz w:val="20"/>
                <w:szCs w:val="20"/>
              </w:rPr>
              <w:t>–</w:t>
            </w:r>
            <w:r w:rsidRPr="0072753B">
              <w:rPr>
                <w:rFonts w:asciiTheme="majorHAnsi" w:hAnsiTheme="majorHAnsi" w:cstheme="majorHAnsi"/>
                <w:sz w:val="20"/>
                <w:szCs w:val="20"/>
              </w:rPr>
              <w:t xml:space="preserve"> 2027</w:t>
            </w:r>
          </w:p>
        </w:tc>
        <w:tc>
          <w:tcPr>
            <w:tcW w:w="0" w:type="dxa"/>
            <w:tcBorders>
              <w:top w:val="single" w:sz="4" w:space="0" w:color="auto"/>
              <w:bottom w:val="single" w:sz="4" w:space="0" w:color="auto"/>
            </w:tcBorders>
          </w:tcPr>
          <w:p w14:paraId="11803E5B" w14:textId="2C7524D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C6065B" w:rsidRPr="0072753B" w14:paraId="37EAEC08" w14:textId="77777777" w:rsidTr="00CA6E7B">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6555B39F" w14:textId="77777777"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lastRenderedPageBreak/>
              <w:t>13</w:t>
            </w:r>
          </w:p>
        </w:tc>
        <w:tc>
          <w:tcPr>
            <w:tcW w:w="0" w:type="dxa"/>
            <w:tcBorders>
              <w:top w:val="single" w:sz="4" w:space="0" w:color="auto"/>
              <w:bottom w:val="single" w:sz="4" w:space="0" w:color="auto"/>
            </w:tcBorders>
            <w:tcMar>
              <w:top w:w="85" w:type="dxa"/>
              <w:bottom w:w="85" w:type="dxa"/>
            </w:tcMar>
          </w:tcPr>
          <w:p w14:paraId="671D19E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74112</w:t>
            </w:r>
          </w:p>
          <w:p w14:paraId="23D8C47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7F7D00E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Partnership to End Violence Against Women and Girls (PPEVAWG) Phase 1</w:t>
            </w:r>
          </w:p>
          <w:p w14:paraId="159F764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b/>
            </w:r>
          </w:p>
          <w:p w14:paraId="4DF6AE33" w14:textId="521908BB"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 Women)</w:t>
            </w:r>
          </w:p>
        </w:tc>
        <w:tc>
          <w:tcPr>
            <w:tcW w:w="0" w:type="dxa"/>
            <w:tcBorders>
              <w:top w:val="single" w:sz="4" w:space="0" w:color="auto"/>
              <w:bottom w:val="single" w:sz="4" w:space="0" w:color="auto"/>
            </w:tcBorders>
            <w:tcMar>
              <w:top w:w="85" w:type="dxa"/>
              <w:bottom w:w="85" w:type="dxa"/>
            </w:tcMar>
          </w:tcPr>
          <w:p w14:paraId="0B85BC9D" w14:textId="1084A6E4"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promotes gender equality, prevents VAWG, and increase access to quality VAWG response services for survivors. The programme engages with over 100 partners across the region, including national governments, CSOs, EVAWG networks, faith-based groups, and sports associations.</w:t>
            </w:r>
            <w:r w:rsidRPr="0072753B">
              <w:rPr>
                <w:rFonts w:asciiTheme="majorHAnsi" w:hAnsiTheme="majorHAnsi" w:cstheme="majorHAnsi"/>
                <w:sz w:val="20"/>
                <w:szCs w:val="20"/>
              </w:rPr>
              <w:tab/>
            </w:r>
          </w:p>
        </w:tc>
        <w:tc>
          <w:tcPr>
            <w:tcW w:w="0" w:type="dxa"/>
            <w:tcBorders>
              <w:top w:val="single" w:sz="4" w:space="0" w:color="auto"/>
              <w:bottom w:val="single" w:sz="4" w:space="0" w:color="auto"/>
            </w:tcBorders>
          </w:tcPr>
          <w:p w14:paraId="4F1961D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1BCC81C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0F9B7A0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5AA4092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61FFC4A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2C28304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1CD200E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250CDEE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24A17D99" w14:textId="4C033957" w:rsidR="00015B29" w:rsidRPr="0072753B" w:rsidRDefault="00015B29"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tc>
        <w:tc>
          <w:tcPr>
            <w:tcW w:w="0" w:type="dxa"/>
            <w:tcBorders>
              <w:top w:val="single" w:sz="4" w:space="0" w:color="auto"/>
              <w:bottom w:val="single" w:sz="4" w:space="0" w:color="auto"/>
            </w:tcBorders>
            <w:tcMar>
              <w:top w:w="85" w:type="dxa"/>
              <w:bottom w:w="85" w:type="dxa"/>
            </w:tcMar>
          </w:tcPr>
          <w:p w14:paraId="11D27A0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$800,000</w:t>
            </w:r>
          </w:p>
          <w:p w14:paraId="52A0437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949462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2023</w:t>
            </w:r>
          </w:p>
          <w:p w14:paraId="625C10A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Pr>
          <w:p w14:paraId="34E13D5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p w14:paraId="00F7A7B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6065B" w:rsidRPr="0072753B" w14:paraId="24CA15F6"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581EADBE" w14:textId="77777777" w:rsidR="00C6065B" w:rsidRPr="0072753B" w:rsidRDefault="00C6065B" w:rsidP="0072753B">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5A3D806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77334/8</w:t>
            </w:r>
          </w:p>
          <w:p w14:paraId="2BFC45A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04736C5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Partnership to End Violence Against Women and Girls (PPEVAWG) Phase 2</w:t>
            </w:r>
          </w:p>
          <w:p w14:paraId="5B105B0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8086279" w14:textId="1D806346"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 Women)</w:t>
            </w:r>
          </w:p>
        </w:tc>
        <w:tc>
          <w:tcPr>
            <w:tcW w:w="0" w:type="dxa"/>
            <w:tcBorders>
              <w:top w:val="single" w:sz="4" w:space="0" w:color="auto"/>
              <w:bottom w:val="single" w:sz="4" w:space="0" w:color="auto"/>
            </w:tcBorders>
            <w:tcMar>
              <w:top w:w="85" w:type="dxa"/>
              <w:bottom w:w="85" w:type="dxa"/>
            </w:tcMar>
          </w:tcPr>
          <w:p w14:paraId="44B670C8" w14:textId="71D6426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aims to promote gender equality, prevent violence, and improve access to services for survivors. The program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 strengthens survivor-</w:t>
            </w:r>
            <w:proofErr w:type="spellStart"/>
            <w:r w:rsidRPr="0072753B">
              <w:rPr>
                <w:rFonts w:asciiTheme="majorHAnsi" w:hAnsiTheme="majorHAnsi" w:cstheme="majorHAnsi"/>
                <w:sz w:val="20"/>
                <w:szCs w:val="20"/>
              </w:rPr>
              <w:t>centered</w:t>
            </w:r>
            <w:proofErr w:type="spellEnd"/>
            <w:r w:rsidRPr="0072753B">
              <w:rPr>
                <w:rFonts w:asciiTheme="majorHAnsi" w:hAnsiTheme="majorHAnsi" w:cstheme="majorHAnsi"/>
                <w:sz w:val="20"/>
                <w:szCs w:val="20"/>
              </w:rPr>
              <w:t xml:space="preserve"> services by enhancing the capacity of health, justice, and social service providers, while empowering women’s rights movements and amplifying the voices of marginali</w:t>
            </w:r>
            <w:r w:rsidR="0072753B" w:rsidRPr="0072753B">
              <w:rPr>
                <w:rFonts w:asciiTheme="majorHAnsi" w:hAnsiTheme="majorHAnsi" w:cstheme="majorHAnsi"/>
                <w:sz w:val="20"/>
                <w:szCs w:val="20"/>
              </w:rPr>
              <w:t>s</w:t>
            </w:r>
            <w:r w:rsidRPr="0072753B">
              <w:rPr>
                <w:rFonts w:asciiTheme="majorHAnsi" w:hAnsiTheme="majorHAnsi" w:cstheme="majorHAnsi"/>
                <w:sz w:val="20"/>
                <w:szCs w:val="20"/>
              </w:rPr>
              <w:t>ed groups.</w:t>
            </w:r>
          </w:p>
        </w:tc>
        <w:tc>
          <w:tcPr>
            <w:tcW w:w="0" w:type="dxa"/>
            <w:tcBorders>
              <w:top w:val="single" w:sz="4" w:space="0" w:color="auto"/>
              <w:bottom w:val="single" w:sz="4" w:space="0" w:color="auto"/>
            </w:tcBorders>
          </w:tcPr>
          <w:p w14:paraId="3701FA07"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61E1AB1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296E902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119D752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60A4F19F"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32D65C65"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64A35D4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6A3ECE7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261184AC" w14:textId="0683FC0F"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Borders>
              <w:top w:val="single" w:sz="4" w:space="0" w:color="auto"/>
              <w:bottom w:val="single" w:sz="4" w:space="0" w:color="auto"/>
            </w:tcBorders>
            <w:tcMar>
              <w:top w:w="85" w:type="dxa"/>
              <w:bottom w:w="85" w:type="dxa"/>
            </w:tcMar>
          </w:tcPr>
          <w:p w14:paraId="106987D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$15,934,693.05</w:t>
            </w:r>
            <w:r w:rsidRPr="0072753B">
              <w:rPr>
                <w:rFonts w:asciiTheme="majorHAnsi" w:hAnsiTheme="majorHAnsi" w:cstheme="majorHAnsi"/>
                <w:sz w:val="20"/>
                <w:szCs w:val="20"/>
                <w:vertAlign w:val="superscript"/>
              </w:rPr>
              <w:footnoteReference w:id="13"/>
            </w:r>
          </w:p>
          <w:p w14:paraId="3B8D2C61"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91B7010" w14:textId="78F069B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w:t>
            </w:r>
            <w:r w:rsidR="007F49EC" w:rsidRPr="0072753B">
              <w:rPr>
                <w:rFonts w:asciiTheme="majorHAnsi" w:hAnsiTheme="majorHAnsi" w:cstheme="majorHAnsi"/>
                <w:sz w:val="20"/>
                <w:szCs w:val="20"/>
              </w:rPr>
              <w:t>2</w:t>
            </w:r>
            <w:r w:rsidRPr="0072753B">
              <w:rPr>
                <w:rFonts w:asciiTheme="majorHAnsi" w:hAnsiTheme="majorHAnsi" w:cstheme="majorHAnsi"/>
                <w:sz w:val="20"/>
                <w:szCs w:val="20"/>
              </w:rPr>
              <w:t xml:space="preserve"> – 2027</w:t>
            </w:r>
          </w:p>
        </w:tc>
        <w:tc>
          <w:tcPr>
            <w:tcW w:w="0" w:type="dxa"/>
            <w:tcBorders>
              <w:top w:val="single" w:sz="4" w:space="0" w:color="auto"/>
              <w:bottom w:val="single" w:sz="4" w:space="0" w:color="auto"/>
            </w:tcBorders>
          </w:tcPr>
          <w:p w14:paraId="7CA6C46A" w14:textId="196A661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F556DE" w:rsidRPr="0072753B" w14:paraId="24A3F03B" w14:textId="77777777" w:rsidTr="00CA6E7B">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bottom w:val="single" w:sz="4" w:space="0" w:color="auto"/>
            </w:tcBorders>
            <w:tcMar>
              <w:top w:w="85" w:type="dxa"/>
              <w:bottom w:w="85" w:type="dxa"/>
            </w:tcMar>
          </w:tcPr>
          <w:p w14:paraId="0BB9872E" w14:textId="7AC32063"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14</w:t>
            </w:r>
          </w:p>
        </w:tc>
        <w:tc>
          <w:tcPr>
            <w:tcW w:w="1136" w:type="dxa"/>
            <w:tcBorders>
              <w:top w:val="single" w:sz="4" w:space="0" w:color="auto"/>
              <w:bottom w:val="single" w:sz="4" w:space="0" w:color="auto"/>
            </w:tcBorders>
            <w:tcMar>
              <w:top w:w="85" w:type="dxa"/>
              <w:bottom w:w="85" w:type="dxa"/>
            </w:tcMar>
          </w:tcPr>
          <w:p w14:paraId="67839A5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69294/67</w:t>
            </w:r>
          </w:p>
          <w:p w14:paraId="3EC5095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91" w:type="dxa"/>
            <w:tcBorders>
              <w:top w:val="single" w:sz="4" w:space="0" w:color="auto"/>
              <w:bottom w:val="single" w:sz="4" w:space="0" w:color="auto"/>
            </w:tcBorders>
            <w:tcMar>
              <w:top w:w="85" w:type="dxa"/>
              <w:bottom w:w="85" w:type="dxa"/>
            </w:tcMar>
          </w:tcPr>
          <w:p w14:paraId="28054E77" w14:textId="117221FA"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Community’s (SPC) Human Rights and Social Development (HRSD) Division Support</w:t>
            </w:r>
          </w:p>
        </w:tc>
        <w:tc>
          <w:tcPr>
            <w:tcW w:w="4675" w:type="dxa"/>
            <w:tcBorders>
              <w:top w:val="single" w:sz="4" w:space="0" w:color="auto"/>
              <w:bottom w:val="single" w:sz="4" w:space="0" w:color="auto"/>
            </w:tcBorders>
            <w:tcMar>
              <w:top w:w="85" w:type="dxa"/>
              <w:bottom w:w="85" w:type="dxa"/>
            </w:tcMar>
          </w:tcPr>
          <w:p w14:paraId="6E9FF39C" w14:textId="6415E51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provides program funding to support the implementation of the SPC HRSD Business Plan 2021-2026. The plan focuses on strengthening inclusive, transparent, and responsive governance and institutions for human rights and social development; promoting gender </w:t>
            </w:r>
            <w:r w:rsidRPr="0072753B">
              <w:rPr>
                <w:rFonts w:asciiTheme="majorHAnsi" w:hAnsiTheme="majorHAnsi" w:cstheme="majorHAnsi"/>
                <w:sz w:val="20"/>
                <w:szCs w:val="20"/>
              </w:rPr>
              <w:lastRenderedPageBreak/>
              <w:t>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1725" w:type="dxa"/>
            <w:tcBorders>
              <w:top w:val="single" w:sz="4" w:space="0" w:color="auto"/>
              <w:bottom w:val="single" w:sz="4" w:space="0" w:color="auto"/>
            </w:tcBorders>
          </w:tcPr>
          <w:p w14:paraId="09519359" w14:textId="2911F07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Cook Islands</w:t>
            </w:r>
          </w:p>
          <w:p w14:paraId="198E718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08A7459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1425155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6DAF49A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Nauru</w:t>
            </w:r>
          </w:p>
          <w:p w14:paraId="78AA1A6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Niue</w:t>
            </w:r>
          </w:p>
          <w:p w14:paraId="30C305C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Palau</w:t>
            </w:r>
          </w:p>
          <w:p w14:paraId="44C19DF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52D55A6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5DF912A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374E7614" w14:textId="7727256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5814A11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2A743E8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488EA43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2087" w:type="dxa"/>
            <w:tcBorders>
              <w:top w:val="single" w:sz="4" w:space="0" w:color="auto"/>
              <w:bottom w:val="single" w:sz="4" w:space="0" w:color="auto"/>
            </w:tcBorders>
            <w:tcMar>
              <w:top w:w="85" w:type="dxa"/>
              <w:bottom w:w="85" w:type="dxa"/>
            </w:tcMar>
          </w:tcPr>
          <w:p w14:paraId="233ECB8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$2,700,000</w:t>
            </w:r>
          </w:p>
          <w:p w14:paraId="3B12524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8EA7682" w14:textId="65795B9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2022</w:t>
            </w:r>
            <w:r w:rsidR="00EF7575"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EF7575" w:rsidRPr="0072753B">
              <w:rPr>
                <w:rFonts w:asciiTheme="majorHAnsi" w:hAnsiTheme="majorHAnsi" w:cstheme="majorHAnsi"/>
                <w:sz w:val="20"/>
                <w:szCs w:val="20"/>
              </w:rPr>
              <w:t xml:space="preserve"> </w:t>
            </w:r>
            <w:r w:rsidRPr="0072753B">
              <w:rPr>
                <w:rFonts w:asciiTheme="majorHAnsi" w:hAnsiTheme="majorHAnsi" w:cstheme="majorHAnsi"/>
                <w:sz w:val="20"/>
                <w:szCs w:val="20"/>
              </w:rPr>
              <w:t>2026</w:t>
            </w:r>
          </w:p>
        </w:tc>
        <w:tc>
          <w:tcPr>
            <w:tcW w:w="1587" w:type="dxa"/>
            <w:tcBorders>
              <w:top w:val="single" w:sz="4" w:space="0" w:color="auto"/>
              <w:bottom w:val="single" w:sz="4" w:space="0" w:color="auto"/>
            </w:tcBorders>
          </w:tcPr>
          <w:p w14:paraId="65D12C78" w14:textId="7F65B9B3"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E163AC" w:rsidRPr="0072753B" w14:paraId="4DB925A6"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7CC75B4A" w14:textId="75BB1A8E"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15</w:t>
            </w:r>
          </w:p>
        </w:tc>
        <w:tc>
          <w:tcPr>
            <w:tcW w:w="0" w:type="dxa"/>
            <w:tcBorders>
              <w:top w:val="single" w:sz="4" w:space="0" w:color="auto"/>
            </w:tcBorders>
            <w:tcMar>
              <w:top w:w="85" w:type="dxa"/>
              <w:bottom w:w="85" w:type="dxa"/>
            </w:tcMar>
          </w:tcPr>
          <w:p w14:paraId="070612E8" w14:textId="6579C7C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78569</w:t>
            </w:r>
          </w:p>
        </w:tc>
        <w:tc>
          <w:tcPr>
            <w:tcW w:w="0" w:type="dxa"/>
            <w:tcBorders>
              <w:top w:val="single" w:sz="4" w:space="0" w:color="auto"/>
            </w:tcBorders>
            <w:tcMar>
              <w:top w:w="85" w:type="dxa"/>
              <w:bottom w:w="85" w:type="dxa"/>
            </w:tcMar>
          </w:tcPr>
          <w:p w14:paraId="469292DF"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Programs to Eliminate Violence Against Women in Fiji and the Pacific</w:t>
            </w:r>
          </w:p>
          <w:p w14:paraId="3149FAE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F100CDA" w14:textId="77D13E94"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 Women</w:t>
            </w:r>
            <w:r w:rsidR="00B85C54" w:rsidRPr="0072753B">
              <w:rPr>
                <w:rFonts w:asciiTheme="majorHAnsi" w:hAnsiTheme="majorHAnsi" w:cstheme="majorHAnsi"/>
                <w:sz w:val="20"/>
                <w:szCs w:val="20"/>
              </w:rPr>
              <w:t xml:space="preserve">’s </w:t>
            </w:r>
            <w:r w:rsidRPr="0072753B">
              <w:rPr>
                <w:rFonts w:asciiTheme="majorHAnsi" w:hAnsiTheme="majorHAnsi" w:cstheme="majorHAnsi"/>
                <w:sz w:val="20"/>
                <w:szCs w:val="20"/>
              </w:rPr>
              <w:t xml:space="preserve">Crisis Centre </w:t>
            </w:r>
            <w:r w:rsidR="00B85C54" w:rsidRPr="0072753B">
              <w:rPr>
                <w:rFonts w:asciiTheme="majorHAnsi" w:hAnsiTheme="majorHAnsi" w:cstheme="majorHAnsi"/>
                <w:sz w:val="20"/>
                <w:szCs w:val="20"/>
              </w:rPr>
              <w:t>(</w:t>
            </w:r>
            <w:r w:rsidRPr="0072753B">
              <w:rPr>
                <w:rFonts w:asciiTheme="majorHAnsi" w:hAnsiTheme="majorHAnsi" w:cstheme="majorHAnsi"/>
                <w:sz w:val="20"/>
                <w:szCs w:val="20"/>
              </w:rPr>
              <w:t>FWCC)</w:t>
            </w:r>
            <w:r w:rsidR="00B85C54" w:rsidRPr="0072753B">
              <w:rPr>
                <w:rFonts w:asciiTheme="majorHAnsi" w:hAnsiTheme="majorHAnsi" w:cstheme="majorHAnsi"/>
                <w:sz w:val="20"/>
                <w:szCs w:val="20"/>
              </w:rPr>
              <w:t>)</w:t>
            </w:r>
          </w:p>
        </w:tc>
        <w:tc>
          <w:tcPr>
            <w:tcW w:w="0" w:type="dxa"/>
            <w:tcBorders>
              <w:top w:val="single" w:sz="4" w:space="0" w:color="auto"/>
            </w:tcBorders>
            <w:tcMar>
              <w:top w:w="85" w:type="dxa"/>
              <w:bottom w:w="85" w:type="dxa"/>
            </w:tcMar>
          </w:tcPr>
          <w:p w14:paraId="22181B48" w14:textId="0CE0893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Top up grant provided by the regional GBV program. The project contributes to the long-term goal of FWCC to eliminate all forms of violence against women and girls in Fiji and the Pacific region using a human rights and development framework, and the six end-of-program outcomes. </w:t>
            </w:r>
            <w:r w:rsidRPr="0072753B">
              <w:rPr>
                <w:rFonts w:asciiTheme="majorHAnsi" w:hAnsiTheme="majorHAnsi" w:cstheme="majorHAnsi"/>
                <w:sz w:val="20"/>
                <w:szCs w:val="20"/>
              </w:rPr>
              <w:tab/>
            </w:r>
          </w:p>
          <w:p w14:paraId="75C9AE01" w14:textId="5680713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tcBorders>
          </w:tcPr>
          <w:p w14:paraId="55256003" w14:textId="76D8355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r w:rsidRPr="0072753B">
              <w:rPr>
                <w:rFonts w:asciiTheme="majorHAnsi" w:hAnsiTheme="majorHAnsi" w:cstheme="majorHAnsi"/>
                <w:sz w:val="20"/>
                <w:szCs w:val="20"/>
              </w:rPr>
              <w:tab/>
            </w:r>
          </w:p>
        </w:tc>
        <w:tc>
          <w:tcPr>
            <w:tcW w:w="0" w:type="dxa"/>
            <w:tcBorders>
              <w:top w:val="single" w:sz="4" w:space="0" w:color="auto"/>
            </w:tcBorders>
            <w:tcMar>
              <w:top w:w="85" w:type="dxa"/>
              <w:bottom w:w="85" w:type="dxa"/>
            </w:tcMar>
          </w:tcPr>
          <w:p w14:paraId="17A310EA" w14:textId="1BDD305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$1,835,397</w:t>
            </w:r>
          </w:p>
          <w:p w14:paraId="65CCAA1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5E1327A" w14:textId="77A50578"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2024 - 2025</w:t>
            </w:r>
          </w:p>
        </w:tc>
        <w:tc>
          <w:tcPr>
            <w:tcW w:w="0" w:type="dxa"/>
            <w:tcBorders>
              <w:top w:val="single" w:sz="4" w:space="0" w:color="auto"/>
            </w:tcBorders>
          </w:tcPr>
          <w:p w14:paraId="7B5A2E8F" w14:textId="1107D90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44A2744C" w14:textId="27898E9F" w:rsidTr="00A25973">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7F7F7F" w:themeColor="text1" w:themeTint="80"/>
              <w:bottom w:val="single" w:sz="4" w:space="0" w:color="auto"/>
            </w:tcBorders>
            <w:tcMar>
              <w:top w:w="85" w:type="dxa"/>
              <w:bottom w:w="85" w:type="dxa"/>
            </w:tcMar>
          </w:tcPr>
          <w:p w14:paraId="0C913513" w14:textId="5CF7339D"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16</w:t>
            </w:r>
          </w:p>
        </w:tc>
        <w:tc>
          <w:tcPr>
            <w:tcW w:w="1136" w:type="dxa"/>
            <w:tcBorders>
              <w:top w:val="single" w:sz="4" w:space="0" w:color="7F7F7F" w:themeColor="text1" w:themeTint="80"/>
              <w:bottom w:val="single" w:sz="4" w:space="0" w:color="auto"/>
            </w:tcBorders>
            <w:tcMar>
              <w:top w:w="85" w:type="dxa"/>
              <w:bottom w:w="85" w:type="dxa"/>
            </w:tcMar>
          </w:tcPr>
          <w:p w14:paraId="0F94808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69294/46</w:t>
            </w:r>
          </w:p>
          <w:p w14:paraId="39ADD971"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91" w:type="dxa"/>
            <w:tcBorders>
              <w:top w:val="single" w:sz="4" w:space="0" w:color="7F7F7F" w:themeColor="text1" w:themeTint="80"/>
              <w:bottom w:val="single" w:sz="4" w:space="0" w:color="auto"/>
            </w:tcBorders>
            <w:tcMar>
              <w:top w:w="85" w:type="dxa"/>
              <w:bottom w:w="85" w:type="dxa"/>
            </w:tcMar>
          </w:tcPr>
          <w:p w14:paraId="4F1348E7" w14:textId="20EFE1AB"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Progressing Gender Equality in the Pacific </w:t>
            </w:r>
            <w:r w:rsidRPr="0072753B">
              <w:rPr>
                <w:rStyle w:val="FootnoteReference"/>
                <w:rFonts w:asciiTheme="majorHAnsi" w:hAnsiTheme="majorHAnsi" w:cstheme="majorHAnsi"/>
                <w:sz w:val="20"/>
                <w:szCs w:val="20"/>
              </w:rPr>
              <w:footnoteReference w:id="14"/>
            </w:r>
          </w:p>
          <w:p w14:paraId="193124DE"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D7B9F16" w14:textId="01AF8B15"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(Human Resources and Social Development (HRSD) Division - SPC)</w:t>
            </w:r>
          </w:p>
        </w:tc>
        <w:tc>
          <w:tcPr>
            <w:tcW w:w="4675" w:type="dxa"/>
            <w:tcBorders>
              <w:top w:val="single" w:sz="4" w:space="0" w:color="7F7F7F" w:themeColor="text1" w:themeTint="80"/>
              <w:bottom w:val="single" w:sz="4" w:space="0" w:color="auto"/>
            </w:tcBorders>
            <w:tcMar>
              <w:top w:w="85" w:type="dxa"/>
              <w:bottom w:w="85" w:type="dxa"/>
            </w:tcMar>
          </w:tcPr>
          <w:p w14:paraId="300654C0" w14:textId="3A866A6D"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7DEE0D42"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A93036E" w14:textId="307F901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The project also supported improved collection, analysis, and use of gender data and statistics at both country and regional levels. By strengthening </w:t>
            </w:r>
            <w:r w:rsidRPr="0072753B">
              <w:rPr>
                <w:rFonts w:asciiTheme="majorHAnsi" w:hAnsiTheme="majorHAnsi" w:cstheme="majorHAnsi"/>
                <w:sz w:val="20"/>
                <w:szCs w:val="20"/>
              </w:rPr>
              <w:lastRenderedPageBreak/>
              <w:t>data systems, the project aimed to provide evidence that informs policy decisions, tracks progress on gender equality commitments and ensures that the needs and experiences of women and men were accurately represented.</w:t>
            </w:r>
          </w:p>
        </w:tc>
        <w:tc>
          <w:tcPr>
            <w:tcW w:w="1725" w:type="dxa"/>
            <w:tcBorders>
              <w:top w:val="single" w:sz="4" w:space="0" w:color="7F7F7F" w:themeColor="text1" w:themeTint="80"/>
              <w:bottom w:val="single" w:sz="4" w:space="0" w:color="auto"/>
            </w:tcBorders>
          </w:tcPr>
          <w:p w14:paraId="2BF87F5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Fiji</w:t>
            </w:r>
          </w:p>
          <w:p w14:paraId="773A6CB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1769C48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4FA6633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3D38F079" w14:textId="2C7FE385"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Islands</w:t>
            </w:r>
          </w:p>
          <w:p w14:paraId="4C6E345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3ADAB40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7339B39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07AB2DB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p w14:paraId="4D050C7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55BBDBF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Nauru</w:t>
            </w:r>
          </w:p>
          <w:p w14:paraId="03995B3C" w14:textId="6A2FA2E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Solomon Islands</w:t>
            </w:r>
          </w:p>
        </w:tc>
        <w:tc>
          <w:tcPr>
            <w:tcW w:w="2087" w:type="dxa"/>
            <w:tcBorders>
              <w:top w:val="single" w:sz="4" w:space="0" w:color="7F7F7F" w:themeColor="text1" w:themeTint="80"/>
              <w:bottom w:val="single" w:sz="4" w:space="0" w:color="auto"/>
            </w:tcBorders>
            <w:tcMar>
              <w:top w:w="85" w:type="dxa"/>
              <w:bottom w:w="85" w:type="dxa"/>
            </w:tcMar>
          </w:tcPr>
          <w:p w14:paraId="6BE00668" w14:textId="100DFC6B"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$2,156,401</w:t>
            </w:r>
          </w:p>
          <w:p w14:paraId="0C62B90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261BF2D" w14:textId="1F21F73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 – 2023</w:t>
            </w:r>
          </w:p>
          <w:p w14:paraId="24F77724" w14:textId="6A128176"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87" w:type="dxa"/>
            <w:tcBorders>
              <w:top w:val="single" w:sz="4" w:space="0" w:color="7F7F7F" w:themeColor="text1" w:themeTint="80"/>
              <w:bottom w:val="single" w:sz="4" w:space="0" w:color="auto"/>
            </w:tcBorders>
          </w:tcPr>
          <w:p w14:paraId="301F5F7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Completed</w:t>
            </w:r>
          </w:p>
          <w:p w14:paraId="6331278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E163AC" w:rsidRPr="0072753B" w14:paraId="75922397" w14:textId="77777777" w:rsidTr="00E16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tcBorders>
            <w:tcMar>
              <w:top w:w="85" w:type="dxa"/>
              <w:bottom w:w="85" w:type="dxa"/>
            </w:tcMar>
          </w:tcPr>
          <w:p w14:paraId="20EFEF26" w14:textId="4331326E"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17</w:t>
            </w:r>
          </w:p>
        </w:tc>
        <w:tc>
          <w:tcPr>
            <w:tcW w:w="1136" w:type="dxa"/>
            <w:tcBorders>
              <w:top w:val="single" w:sz="4" w:space="0" w:color="auto"/>
            </w:tcBorders>
            <w:tcMar>
              <w:top w:w="85" w:type="dxa"/>
              <w:bottom w:w="85" w:type="dxa"/>
            </w:tcMar>
          </w:tcPr>
          <w:p w14:paraId="2FB643D2"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78400</w:t>
            </w:r>
          </w:p>
        </w:tc>
        <w:tc>
          <w:tcPr>
            <w:tcW w:w="2191" w:type="dxa"/>
            <w:tcBorders>
              <w:top w:val="single" w:sz="4" w:space="0" w:color="auto"/>
            </w:tcBorders>
            <w:tcMar>
              <w:top w:w="85" w:type="dxa"/>
              <w:bottom w:w="85" w:type="dxa"/>
            </w:tcMar>
          </w:tcPr>
          <w:p w14:paraId="7C943AF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Progressing Pacific Islands Forum (PIF) Gender Equality, Disability and Social Inclusion Priorities</w:t>
            </w:r>
          </w:p>
          <w:p w14:paraId="0F879892"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FF4D44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Island Forum Secretariat)</w:t>
            </w:r>
          </w:p>
        </w:tc>
        <w:tc>
          <w:tcPr>
            <w:tcW w:w="4675" w:type="dxa"/>
            <w:tcBorders>
              <w:top w:val="single" w:sz="4" w:space="0" w:color="auto"/>
            </w:tcBorders>
            <w:tcMar>
              <w:top w:w="85" w:type="dxa"/>
              <w:bottom w:w="85" w:type="dxa"/>
            </w:tcMar>
          </w:tcPr>
          <w:p w14:paraId="4E81A82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1725" w:type="dxa"/>
            <w:tcBorders>
              <w:top w:val="single" w:sz="4" w:space="0" w:color="auto"/>
            </w:tcBorders>
          </w:tcPr>
          <w:p w14:paraId="5F1D992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Tuvalu</w:t>
            </w:r>
          </w:p>
          <w:p w14:paraId="0D88EF45" w14:textId="4747BA55"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p w14:paraId="594FE0D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Niue</w:t>
            </w:r>
          </w:p>
          <w:p w14:paraId="6871697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61E8513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287FF03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PNG</w:t>
            </w:r>
          </w:p>
          <w:p w14:paraId="4F301E6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040BA29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4D68A19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Palau</w:t>
            </w:r>
          </w:p>
          <w:p w14:paraId="420CF76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RMI</w:t>
            </w:r>
          </w:p>
          <w:p w14:paraId="067CDFF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7FA82E7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Nauru</w:t>
            </w:r>
          </w:p>
          <w:p w14:paraId="720B661E"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3A59737A" w14:textId="291CA035"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Cook Islands</w:t>
            </w:r>
          </w:p>
        </w:tc>
        <w:tc>
          <w:tcPr>
            <w:tcW w:w="2087" w:type="dxa"/>
            <w:tcBorders>
              <w:top w:val="single" w:sz="4" w:space="0" w:color="auto"/>
            </w:tcBorders>
            <w:tcMar>
              <w:top w:w="85" w:type="dxa"/>
              <w:bottom w:w="85" w:type="dxa"/>
            </w:tcMar>
          </w:tcPr>
          <w:p w14:paraId="14AFDC6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$3,902,976</w:t>
            </w:r>
          </w:p>
          <w:p w14:paraId="39A7F18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524A5D4" w14:textId="56E2DE9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2023</w:t>
            </w:r>
            <w:r w:rsidR="001906B6"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2026</w:t>
            </w:r>
          </w:p>
          <w:p w14:paraId="7AEA91A6" w14:textId="103318F6" w:rsidR="001906B6" w:rsidRPr="0072753B" w:rsidRDefault="001906B6"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587" w:type="dxa"/>
            <w:tcBorders>
              <w:top w:val="single" w:sz="4" w:space="0" w:color="auto"/>
            </w:tcBorders>
          </w:tcPr>
          <w:p w14:paraId="13E28EEF" w14:textId="70BADD2E"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2162B518" w14:textId="27939A26" w:rsidTr="00CA6E7B">
        <w:tc>
          <w:tcPr>
            <w:cnfStyle w:val="001000000000" w:firstRow="0" w:lastRow="0" w:firstColumn="1" w:lastColumn="0" w:oddVBand="0" w:evenVBand="0" w:oddHBand="0" w:evenHBand="0" w:firstRowFirstColumn="0" w:firstRowLastColumn="0" w:lastRowFirstColumn="0" w:lastRowLastColumn="0"/>
            <w:tcW w:w="647" w:type="dxa"/>
            <w:tcMar>
              <w:top w:w="85" w:type="dxa"/>
              <w:bottom w:w="85" w:type="dxa"/>
            </w:tcMar>
          </w:tcPr>
          <w:p w14:paraId="72F71616" w14:textId="0949A6B2"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18</w:t>
            </w:r>
          </w:p>
        </w:tc>
        <w:tc>
          <w:tcPr>
            <w:tcW w:w="1136" w:type="dxa"/>
            <w:tcMar>
              <w:top w:w="85" w:type="dxa"/>
              <w:bottom w:w="85" w:type="dxa"/>
            </w:tcMar>
          </w:tcPr>
          <w:p w14:paraId="7AC4286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76453</w:t>
            </w:r>
          </w:p>
          <w:p w14:paraId="0C17305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2191" w:type="dxa"/>
            <w:tcMar>
              <w:top w:w="85" w:type="dxa"/>
              <w:bottom w:w="85" w:type="dxa"/>
            </w:tcMar>
          </w:tcPr>
          <w:p w14:paraId="525028B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72753B">
              <w:rPr>
                <w:rFonts w:asciiTheme="majorHAnsi" w:hAnsiTheme="majorHAnsi" w:cstheme="majorHAnsi"/>
                <w:sz w:val="20"/>
                <w:szCs w:val="20"/>
              </w:rPr>
              <w:t>RiseUp</w:t>
            </w:r>
            <w:proofErr w:type="spellEnd"/>
            <w:r w:rsidRPr="0072753B">
              <w:rPr>
                <w:rFonts w:asciiTheme="majorHAnsi" w:hAnsiTheme="majorHAnsi" w:cstheme="majorHAnsi"/>
                <w:sz w:val="20"/>
                <w:szCs w:val="20"/>
              </w:rPr>
              <w:t>! Mobilising Young Women's Leadership and Advocacy Phase IV</w:t>
            </w:r>
          </w:p>
          <w:p w14:paraId="683751E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0A67E9A" w14:textId="2D4D8E5E"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sz w:val="20"/>
                <w:szCs w:val="20"/>
              </w:rPr>
              <w:t>(World YWCA)</w:t>
            </w:r>
          </w:p>
        </w:tc>
        <w:tc>
          <w:tcPr>
            <w:tcW w:w="4675" w:type="dxa"/>
            <w:tcMar>
              <w:top w:w="85" w:type="dxa"/>
              <w:bottom w:w="85" w:type="dxa"/>
            </w:tcMar>
          </w:tcPr>
          <w:p w14:paraId="3E53C398" w14:textId="3EA9B968"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 xml:space="preserve">World YWCA works with national-level YWCAs to provide training, networking and peer support to young women between the ages of 18 and 30 years.  </w:t>
            </w:r>
          </w:p>
        </w:tc>
        <w:tc>
          <w:tcPr>
            <w:tcW w:w="1725" w:type="dxa"/>
          </w:tcPr>
          <w:p w14:paraId="0EACA995" w14:textId="75845B3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PNG</w:t>
            </w:r>
          </w:p>
          <w:p w14:paraId="6254B2A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Solomon Islands</w:t>
            </w:r>
          </w:p>
          <w:p w14:paraId="2E837C8E" w14:textId="78B4BF5C" w:rsidR="002674F7" w:rsidRPr="0072753B" w:rsidRDefault="002674F7"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Samoa</w:t>
            </w:r>
          </w:p>
        </w:tc>
        <w:tc>
          <w:tcPr>
            <w:tcW w:w="2087" w:type="dxa"/>
            <w:tcMar>
              <w:top w:w="85" w:type="dxa"/>
              <w:bottom w:w="85" w:type="dxa"/>
            </w:tcMar>
          </w:tcPr>
          <w:p w14:paraId="6ED1AFA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$6,000,000</w:t>
            </w:r>
          </w:p>
          <w:p w14:paraId="7D4C49C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054E215E" w14:textId="2C603EE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2020</w:t>
            </w:r>
            <w:r w:rsidR="001906B6" w:rsidRPr="0072753B">
              <w:rPr>
                <w:rFonts w:asciiTheme="majorHAnsi" w:hAnsiTheme="majorHAnsi" w:cstheme="majorHAnsi"/>
                <w:bCs/>
                <w:sz w:val="20"/>
                <w:szCs w:val="20"/>
              </w:rPr>
              <w:t xml:space="preserve"> </w:t>
            </w:r>
            <w:r w:rsidRPr="0072753B">
              <w:rPr>
                <w:rFonts w:asciiTheme="majorHAnsi" w:hAnsiTheme="majorHAnsi" w:cstheme="majorHAnsi"/>
                <w:bCs/>
                <w:sz w:val="20"/>
                <w:szCs w:val="20"/>
              </w:rPr>
              <w:t>–</w:t>
            </w:r>
            <w:r w:rsidR="001906B6" w:rsidRPr="0072753B">
              <w:rPr>
                <w:rFonts w:asciiTheme="majorHAnsi" w:hAnsiTheme="majorHAnsi" w:cstheme="majorHAnsi"/>
                <w:bCs/>
                <w:sz w:val="20"/>
                <w:szCs w:val="20"/>
              </w:rPr>
              <w:t xml:space="preserve"> </w:t>
            </w:r>
            <w:r w:rsidRPr="0072753B">
              <w:rPr>
                <w:rFonts w:asciiTheme="majorHAnsi" w:hAnsiTheme="majorHAnsi" w:cstheme="majorHAnsi"/>
                <w:bCs/>
                <w:sz w:val="20"/>
                <w:szCs w:val="20"/>
              </w:rPr>
              <w:t>2025</w:t>
            </w:r>
          </w:p>
        </w:tc>
        <w:tc>
          <w:tcPr>
            <w:tcW w:w="1587" w:type="dxa"/>
          </w:tcPr>
          <w:p w14:paraId="648D7B18" w14:textId="3DB4A55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2753B">
              <w:rPr>
                <w:rFonts w:asciiTheme="majorHAnsi" w:hAnsiTheme="majorHAnsi" w:cstheme="majorHAnsi"/>
                <w:bCs/>
                <w:sz w:val="20"/>
                <w:szCs w:val="20"/>
              </w:rPr>
              <w:t xml:space="preserve">Ongoing </w:t>
            </w:r>
          </w:p>
        </w:tc>
      </w:tr>
      <w:tr w:rsidR="00F44B03" w:rsidRPr="0072753B" w14:paraId="5D7B74E6" w14:textId="77777777" w:rsidTr="00F44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tcMar>
              <w:top w:w="85" w:type="dxa"/>
              <w:bottom w:w="85" w:type="dxa"/>
            </w:tcMar>
          </w:tcPr>
          <w:p w14:paraId="5E50B478" w14:textId="35CFC62A"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19</w:t>
            </w:r>
          </w:p>
        </w:tc>
        <w:tc>
          <w:tcPr>
            <w:tcW w:w="1136" w:type="dxa"/>
            <w:tcMar>
              <w:top w:w="85" w:type="dxa"/>
              <w:bottom w:w="85" w:type="dxa"/>
            </w:tcMar>
          </w:tcPr>
          <w:p w14:paraId="592858AD" w14:textId="4E07F56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UN Women Trust Fund recipient </w:t>
            </w:r>
          </w:p>
        </w:tc>
        <w:tc>
          <w:tcPr>
            <w:tcW w:w="2191" w:type="dxa"/>
            <w:tcMar>
              <w:top w:w="85" w:type="dxa"/>
              <w:bottom w:w="85" w:type="dxa"/>
            </w:tcMar>
          </w:tcPr>
          <w:p w14:paraId="1D1B1F6D"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 and Girls Accessing Essential, Safe and Secured GBV Services in Solomon Islands</w:t>
            </w:r>
          </w:p>
          <w:p w14:paraId="666C172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b/>
            </w:r>
          </w:p>
          <w:p w14:paraId="34914F85" w14:textId="0AF7CFFF"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(Family Support Centre -FSC)</w:t>
            </w:r>
          </w:p>
          <w:p w14:paraId="7BDED310"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4675" w:type="dxa"/>
            <w:tcMar>
              <w:top w:w="85" w:type="dxa"/>
              <w:bottom w:w="85" w:type="dxa"/>
            </w:tcMar>
          </w:tcPr>
          <w:p w14:paraId="2E54146F" w14:textId="0D384CF3"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The project enhances the capacities of GBV Provincial Committees, increase service accessibility for women and girls, raise awareness in educational settings, and foster a supportive network for sharing best practices. Ultimately, it seeks to create a safer environment for women </w:t>
            </w:r>
            <w:r w:rsidRPr="0072753B">
              <w:rPr>
                <w:rFonts w:asciiTheme="majorHAnsi" w:hAnsiTheme="majorHAnsi" w:cstheme="majorHAnsi"/>
                <w:sz w:val="20"/>
                <w:szCs w:val="20"/>
              </w:rPr>
              <w:lastRenderedPageBreak/>
              <w:t>and girls, including women and girls with disabilities, in the Solomon Islands, ensuring they can seek help without barriers.</w:t>
            </w:r>
            <w:r w:rsidRPr="0072753B">
              <w:rPr>
                <w:rFonts w:asciiTheme="majorHAnsi" w:hAnsiTheme="majorHAnsi" w:cstheme="majorHAnsi"/>
                <w:sz w:val="20"/>
                <w:szCs w:val="20"/>
              </w:rPr>
              <w:tab/>
            </w:r>
          </w:p>
        </w:tc>
        <w:tc>
          <w:tcPr>
            <w:tcW w:w="1725" w:type="dxa"/>
          </w:tcPr>
          <w:p w14:paraId="6AA0B778" w14:textId="0879EF95"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Solomon Islands</w:t>
            </w:r>
          </w:p>
        </w:tc>
        <w:tc>
          <w:tcPr>
            <w:tcW w:w="2087" w:type="dxa"/>
            <w:tcMar>
              <w:top w:w="85" w:type="dxa"/>
              <w:bottom w:w="85" w:type="dxa"/>
            </w:tcMar>
          </w:tcPr>
          <w:p w14:paraId="3B96A8F6" w14:textId="0CC2A8A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$1,392,315.84</w:t>
            </w:r>
          </w:p>
          <w:p w14:paraId="78B9AD4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2AB6BEF" w14:textId="1C0DCE55" w:rsidR="00431C16"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w:t>
            </w:r>
            <w:r w:rsidR="00431C16" w:rsidRPr="0072753B">
              <w:rPr>
                <w:rFonts w:asciiTheme="majorHAnsi" w:hAnsiTheme="majorHAnsi" w:cstheme="majorHAnsi"/>
                <w:sz w:val="20"/>
                <w:szCs w:val="20"/>
              </w:rPr>
              <w:t xml:space="preserve"> – </w:t>
            </w:r>
            <w:r w:rsidRPr="0072753B">
              <w:rPr>
                <w:rFonts w:asciiTheme="majorHAnsi" w:hAnsiTheme="majorHAnsi" w:cstheme="majorHAnsi"/>
                <w:sz w:val="20"/>
                <w:szCs w:val="20"/>
              </w:rPr>
              <w:t>2028</w:t>
            </w:r>
          </w:p>
        </w:tc>
        <w:tc>
          <w:tcPr>
            <w:tcW w:w="1587" w:type="dxa"/>
          </w:tcPr>
          <w:p w14:paraId="75587488" w14:textId="43ECCC1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C6065B" w:rsidRPr="0072753B" w14:paraId="28FFDD9D" w14:textId="77777777" w:rsidTr="00CA6E7B">
        <w:tc>
          <w:tcPr>
            <w:cnfStyle w:val="001000000000" w:firstRow="0" w:lastRow="0" w:firstColumn="1" w:lastColumn="0" w:oddVBand="0" w:evenVBand="0" w:oddHBand="0" w:evenHBand="0" w:firstRowFirstColumn="0" w:firstRowLastColumn="0" w:lastRowFirstColumn="0" w:lastRowLastColumn="0"/>
            <w:tcW w:w="647" w:type="dxa"/>
            <w:tcMar>
              <w:top w:w="85" w:type="dxa"/>
              <w:bottom w:w="85" w:type="dxa"/>
            </w:tcMar>
          </w:tcPr>
          <w:p w14:paraId="317C72A1" w14:textId="7BFD37A4"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20</w:t>
            </w:r>
          </w:p>
        </w:tc>
        <w:tc>
          <w:tcPr>
            <w:tcW w:w="1136" w:type="dxa"/>
            <w:tcMar>
              <w:top w:w="85" w:type="dxa"/>
              <w:bottom w:w="85" w:type="dxa"/>
            </w:tcMar>
          </w:tcPr>
          <w:p w14:paraId="17265B6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79876</w:t>
            </w:r>
          </w:p>
          <w:p w14:paraId="0E4649A8" w14:textId="47E44CA5"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91" w:type="dxa"/>
            <w:tcMar>
              <w:top w:w="85" w:type="dxa"/>
              <w:bottom w:w="85" w:type="dxa"/>
            </w:tcMar>
          </w:tcPr>
          <w:p w14:paraId="532982C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We Rise Coalition Phase 4  </w:t>
            </w:r>
          </w:p>
          <w:p w14:paraId="25C27A9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b/>
            </w:r>
          </w:p>
          <w:p w14:paraId="39846A3A" w14:textId="4BC916A0"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(International Women’s Development Agency -IWDA)</w:t>
            </w:r>
            <w:r w:rsidRPr="0072753B">
              <w:rPr>
                <w:rFonts w:asciiTheme="majorHAnsi" w:hAnsiTheme="majorHAnsi" w:cstheme="majorHAnsi"/>
                <w:sz w:val="20"/>
                <w:szCs w:val="20"/>
              </w:rPr>
              <w:tab/>
            </w:r>
          </w:p>
        </w:tc>
        <w:tc>
          <w:tcPr>
            <w:tcW w:w="4675" w:type="dxa"/>
            <w:tcMar>
              <w:top w:w="85" w:type="dxa"/>
              <w:bottom w:w="85" w:type="dxa"/>
            </w:tcMar>
          </w:tcPr>
          <w:p w14:paraId="27EC15C1" w14:textId="51E313F4"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We Rise Coalition Phase 4 is a feminist movement-building project led by six experienced Pacific feminist organisations: </w:t>
            </w:r>
            <w:proofErr w:type="spellStart"/>
            <w:r w:rsidRPr="0072753B">
              <w:rPr>
                <w:rFonts w:asciiTheme="majorHAnsi" w:hAnsiTheme="majorHAnsi" w:cstheme="majorHAnsi"/>
                <w:sz w:val="20"/>
                <w:szCs w:val="20"/>
              </w:rPr>
              <w:t>femLINKpacific</w:t>
            </w:r>
            <w:proofErr w:type="spellEnd"/>
            <w:r w:rsidRPr="0072753B">
              <w:rPr>
                <w:rFonts w:asciiTheme="majorHAnsi" w:hAnsiTheme="majorHAnsi" w:cstheme="majorHAnsi"/>
                <w:sz w:val="20"/>
                <w:szCs w:val="20"/>
              </w:rPr>
              <w:t xml:space="preserve"> (Fiji), Fiji Women’s Rights Movement (Fiji), Sista (Vanuatu), Voice for Change (PNG), Brown Girl Woke (Samoa), and IWDA (Australia). The Coalition aims to strengthen Pacific feminist organisations and movements by fostering solidarity, empowering new generations of leaders, advocating for gender-transformative policies, and mobilising resources.</w:t>
            </w:r>
            <w:r w:rsidRPr="0072753B">
              <w:rPr>
                <w:rFonts w:asciiTheme="majorHAnsi" w:hAnsiTheme="majorHAnsi" w:cstheme="majorHAnsi"/>
                <w:sz w:val="20"/>
                <w:szCs w:val="20"/>
              </w:rPr>
              <w:tab/>
              <w:t xml:space="preserve"> </w:t>
            </w:r>
          </w:p>
        </w:tc>
        <w:tc>
          <w:tcPr>
            <w:tcW w:w="1725" w:type="dxa"/>
          </w:tcPr>
          <w:p w14:paraId="63E881D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69CA8C97"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1A807B7D"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4E0E1CD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PNG </w:t>
            </w:r>
          </w:p>
          <w:p w14:paraId="270B490F"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087" w:type="dxa"/>
            <w:tcMar>
              <w:top w:w="85" w:type="dxa"/>
              <w:bottom w:w="85" w:type="dxa"/>
            </w:tcMar>
          </w:tcPr>
          <w:p w14:paraId="14A79094"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$2,954,321 </w:t>
            </w:r>
          </w:p>
          <w:p w14:paraId="7B62482B"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FE83E9" w14:textId="04778D2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2024 – 2026</w:t>
            </w:r>
          </w:p>
        </w:tc>
        <w:tc>
          <w:tcPr>
            <w:tcW w:w="1587" w:type="dxa"/>
          </w:tcPr>
          <w:p w14:paraId="1D177C14" w14:textId="6E5F3319"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Ongoing</w:t>
            </w:r>
          </w:p>
        </w:tc>
      </w:tr>
      <w:tr w:rsidR="00F44B03" w:rsidRPr="0072753B" w14:paraId="4D112190" w14:textId="0EEF485A"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973865B" w14:textId="7C3CFB7C"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21</w:t>
            </w:r>
          </w:p>
        </w:tc>
        <w:tc>
          <w:tcPr>
            <w:tcW w:w="0" w:type="dxa"/>
            <w:tcMar>
              <w:top w:w="85" w:type="dxa"/>
              <w:bottom w:w="85" w:type="dxa"/>
            </w:tcMar>
          </w:tcPr>
          <w:p w14:paraId="0FF64427" w14:textId="28C2C8A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74843</w:t>
            </w:r>
          </w:p>
        </w:tc>
        <w:tc>
          <w:tcPr>
            <w:tcW w:w="0" w:type="dxa"/>
            <w:tcMar>
              <w:top w:w="85" w:type="dxa"/>
              <w:bottom w:w="85" w:type="dxa"/>
            </w:tcMar>
          </w:tcPr>
          <w:p w14:paraId="29152979"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Women’s Resilience to Disasters (WRD) Program</w:t>
            </w:r>
          </w:p>
          <w:p w14:paraId="607731EF"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5A13FA4" w14:textId="2BE4CA65"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 Women)</w:t>
            </w:r>
          </w:p>
        </w:tc>
        <w:tc>
          <w:tcPr>
            <w:tcW w:w="0" w:type="dxa"/>
            <w:tcMar>
              <w:top w:w="85" w:type="dxa"/>
              <w:bottom w:w="85" w:type="dxa"/>
            </w:tcMar>
          </w:tcPr>
          <w:p w14:paraId="46136E9D" w14:textId="71E52E50"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promotes gender-responsive decision-making and governance systems, aiming to enable countries to adopt targeted actions that build the resilience of women and girls to current and future disasters. Its key outcomes focus on ensuring that prevention, preparedness, and recovery frameworks are gender-responsive and shaped by the advocacy of local women and girls. Additionally, the project empowers women and girls by providing them with the agency and voice needed to withstand multiple hazards, recover from disasters, and strengthen their resilience to evolving risks.</w:t>
            </w:r>
          </w:p>
        </w:tc>
        <w:tc>
          <w:tcPr>
            <w:tcW w:w="0" w:type="dxa"/>
          </w:tcPr>
          <w:p w14:paraId="11B05264"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34557C5A"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298F3319" w14:textId="4E90611C"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tc>
        <w:tc>
          <w:tcPr>
            <w:tcW w:w="0" w:type="dxa"/>
            <w:tcMar>
              <w:top w:w="85" w:type="dxa"/>
              <w:bottom w:w="85" w:type="dxa"/>
            </w:tcMar>
          </w:tcPr>
          <w:p w14:paraId="6E4674EA" w14:textId="28539531"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$13,500,000</w:t>
            </w:r>
          </w:p>
          <w:p w14:paraId="20003536"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2875692" w14:textId="3797628D"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w:t>
            </w:r>
            <w:r w:rsidR="003306D8"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3306D8" w:rsidRPr="0072753B">
              <w:rPr>
                <w:rFonts w:asciiTheme="majorHAnsi" w:hAnsiTheme="majorHAnsi" w:cstheme="majorHAnsi"/>
                <w:sz w:val="20"/>
                <w:szCs w:val="20"/>
              </w:rPr>
              <w:t xml:space="preserve"> </w:t>
            </w:r>
            <w:r w:rsidRPr="0072753B">
              <w:rPr>
                <w:rFonts w:asciiTheme="majorHAnsi" w:hAnsiTheme="majorHAnsi" w:cstheme="majorHAnsi"/>
                <w:sz w:val="20"/>
                <w:szCs w:val="20"/>
              </w:rPr>
              <w:t>2026</w:t>
            </w:r>
          </w:p>
        </w:tc>
        <w:tc>
          <w:tcPr>
            <w:tcW w:w="0" w:type="dxa"/>
          </w:tcPr>
          <w:p w14:paraId="0CB7552D" w14:textId="1FE35B39"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Ongoing </w:t>
            </w:r>
          </w:p>
        </w:tc>
      </w:tr>
      <w:tr w:rsidR="00E163AC" w:rsidRPr="0072753B" w14:paraId="5BE2AD1D" w14:textId="0AFBCC6D" w:rsidTr="00E163AC">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7F7F7F" w:themeColor="text1" w:themeTint="80"/>
              <w:bottom w:val="single" w:sz="4" w:space="0" w:color="auto"/>
            </w:tcBorders>
            <w:tcMar>
              <w:top w:w="85" w:type="dxa"/>
              <w:bottom w:w="85" w:type="dxa"/>
            </w:tcMar>
          </w:tcPr>
          <w:p w14:paraId="047EE45E" w14:textId="466A8AE4"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22</w:t>
            </w:r>
          </w:p>
        </w:tc>
        <w:tc>
          <w:tcPr>
            <w:tcW w:w="1136" w:type="dxa"/>
            <w:tcBorders>
              <w:top w:val="single" w:sz="4" w:space="0" w:color="7F7F7F" w:themeColor="text1" w:themeTint="80"/>
              <w:bottom w:val="single" w:sz="4" w:space="0" w:color="auto"/>
            </w:tcBorders>
            <w:tcMar>
              <w:top w:w="85" w:type="dxa"/>
              <w:bottom w:w="85" w:type="dxa"/>
            </w:tcMar>
          </w:tcPr>
          <w:p w14:paraId="130BB00F" w14:textId="14371BCB"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69294/63</w:t>
            </w:r>
          </w:p>
        </w:tc>
        <w:tc>
          <w:tcPr>
            <w:tcW w:w="2191" w:type="dxa"/>
            <w:tcBorders>
              <w:top w:val="single" w:sz="4" w:space="0" w:color="7F7F7F" w:themeColor="text1" w:themeTint="80"/>
              <w:bottom w:val="single" w:sz="4" w:space="0" w:color="auto"/>
            </w:tcBorders>
            <w:tcMar>
              <w:top w:w="85" w:type="dxa"/>
              <w:bottom w:w="85" w:type="dxa"/>
            </w:tcMar>
          </w:tcPr>
          <w:p w14:paraId="2131EB14" w14:textId="77777777"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Women in Leadership</w:t>
            </w:r>
          </w:p>
          <w:p w14:paraId="2D2E5EAE" w14:textId="77777777"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p w14:paraId="426DF4FC" w14:textId="39801850"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(Pacific Community - SPC)</w:t>
            </w:r>
          </w:p>
        </w:tc>
        <w:tc>
          <w:tcPr>
            <w:tcW w:w="4675" w:type="dxa"/>
            <w:tcBorders>
              <w:top w:val="single" w:sz="4" w:space="0" w:color="7F7F7F" w:themeColor="text1" w:themeTint="80"/>
              <w:bottom w:val="single" w:sz="4" w:space="0" w:color="auto"/>
            </w:tcBorders>
            <w:tcMar>
              <w:top w:w="85" w:type="dxa"/>
              <w:bottom w:w="85" w:type="dxa"/>
            </w:tcMar>
          </w:tcPr>
          <w:p w14:paraId="0F5C309B" w14:textId="4E16FF2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WIL programme will enhance SPC’s corporate direction to embed substantive equality through a change in organi</w:t>
            </w:r>
            <w:r w:rsidR="0072753B" w:rsidRPr="0072753B">
              <w:rPr>
                <w:rFonts w:asciiTheme="majorHAnsi" w:hAnsiTheme="majorHAnsi" w:cstheme="majorHAnsi"/>
                <w:sz w:val="20"/>
                <w:szCs w:val="20"/>
              </w:rPr>
              <w:t>s</w:t>
            </w:r>
            <w:r w:rsidRPr="0072753B">
              <w:rPr>
                <w:rFonts w:asciiTheme="majorHAnsi" w:hAnsiTheme="majorHAnsi" w:cstheme="majorHAnsi"/>
                <w:sz w:val="20"/>
                <w:szCs w:val="20"/>
              </w:rPr>
              <w:t xml:space="preserve">ational culture, </w:t>
            </w:r>
            <w:r w:rsidRPr="0072753B">
              <w:rPr>
                <w:rFonts w:asciiTheme="majorHAnsi" w:hAnsiTheme="majorHAnsi" w:cstheme="majorHAnsi"/>
                <w:sz w:val="20"/>
                <w:szCs w:val="20"/>
              </w:rPr>
              <w:lastRenderedPageBreak/>
              <w:t>strengthening of accountability mechanisms, policies and procedures.</w:t>
            </w:r>
          </w:p>
        </w:tc>
        <w:tc>
          <w:tcPr>
            <w:tcW w:w="1725" w:type="dxa"/>
            <w:tcBorders>
              <w:top w:val="single" w:sz="4" w:space="0" w:color="7F7F7F" w:themeColor="text1" w:themeTint="80"/>
              <w:bottom w:val="single" w:sz="4" w:space="0" w:color="auto"/>
            </w:tcBorders>
          </w:tcPr>
          <w:p w14:paraId="5EC1619B" w14:textId="78B94232"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Internal SPC</w:t>
            </w:r>
          </w:p>
        </w:tc>
        <w:tc>
          <w:tcPr>
            <w:tcW w:w="2087" w:type="dxa"/>
            <w:tcBorders>
              <w:top w:val="single" w:sz="4" w:space="0" w:color="7F7F7F" w:themeColor="text1" w:themeTint="80"/>
              <w:bottom w:val="single" w:sz="4" w:space="0" w:color="auto"/>
            </w:tcBorders>
            <w:tcMar>
              <w:top w:w="85" w:type="dxa"/>
              <w:bottom w:w="85" w:type="dxa"/>
            </w:tcMar>
          </w:tcPr>
          <w:p w14:paraId="762D64BB" w14:textId="77777777"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$3,002,564</w:t>
            </w:r>
          </w:p>
          <w:p w14:paraId="528362B0" w14:textId="77777777"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p w14:paraId="7979F544" w14:textId="23BB50FE" w:rsidR="00C6065B" w:rsidRPr="0072753B" w:rsidRDefault="00C6065B" w:rsidP="0072753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2021–2026</w:t>
            </w:r>
          </w:p>
          <w:p w14:paraId="3BCA5319"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87" w:type="dxa"/>
            <w:tcBorders>
              <w:top w:val="single" w:sz="4" w:space="0" w:color="7F7F7F" w:themeColor="text1" w:themeTint="80"/>
              <w:bottom w:val="single" w:sz="4" w:space="0" w:color="auto"/>
            </w:tcBorders>
          </w:tcPr>
          <w:p w14:paraId="78DE37BA" w14:textId="21032FC8"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lastRenderedPageBreak/>
              <w:t xml:space="preserve">Ongoing </w:t>
            </w:r>
          </w:p>
        </w:tc>
      </w:tr>
      <w:tr w:rsidR="00C6065B" w:rsidRPr="0072753B" w14:paraId="5BED9671"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201BFBEB" w14:textId="6E397FD0"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23</w:t>
            </w:r>
          </w:p>
        </w:tc>
        <w:tc>
          <w:tcPr>
            <w:tcW w:w="0" w:type="dxa"/>
            <w:tcBorders>
              <w:top w:val="single" w:sz="4" w:space="0" w:color="auto"/>
              <w:bottom w:val="single" w:sz="4" w:space="0" w:color="auto"/>
            </w:tcBorders>
            <w:tcMar>
              <w:top w:w="85" w:type="dxa"/>
              <w:bottom w:w="85" w:type="dxa"/>
            </w:tcMar>
          </w:tcPr>
          <w:p w14:paraId="6C9C1E57" w14:textId="0CA911D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70302</w:t>
            </w:r>
          </w:p>
        </w:tc>
        <w:tc>
          <w:tcPr>
            <w:tcW w:w="0" w:type="dxa"/>
            <w:tcBorders>
              <w:top w:val="single" w:sz="4" w:space="0" w:color="auto"/>
              <w:bottom w:val="single" w:sz="4" w:space="0" w:color="auto"/>
            </w:tcBorders>
            <w:tcMar>
              <w:top w:w="85" w:type="dxa"/>
              <w:bottom w:w="85" w:type="dxa"/>
            </w:tcMar>
          </w:tcPr>
          <w:p w14:paraId="50EAF548"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Women's safety, leadership and rights in Tonga</w:t>
            </w:r>
          </w:p>
          <w:p w14:paraId="7F27B8E9" w14:textId="77777777" w:rsidR="00C6065B" w:rsidRPr="0072753B" w:rsidRDefault="00C6065B"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ab/>
            </w:r>
          </w:p>
          <w:p w14:paraId="3C44E3BF" w14:textId="14DF6B2B" w:rsidR="00C6065B" w:rsidRPr="0072753B" w:rsidRDefault="00C6065B"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(Tonga Women and Children Crisis Centre -WCCC)</w:t>
            </w:r>
          </w:p>
        </w:tc>
        <w:tc>
          <w:tcPr>
            <w:tcW w:w="0" w:type="dxa"/>
            <w:tcBorders>
              <w:top w:val="single" w:sz="4" w:space="0" w:color="auto"/>
              <w:bottom w:val="single" w:sz="4" w:space="0" w:color="auto"/>
            </w:tcBorders>
            <w:tcMar>
              <w:top w:w="85" w:type="dxa"/>
              <w:bottom w:w="85" w:type="dxa"/>
            </w:tcMar>
          </w:tcPr>
          <w:p w14:paraId="39E1DED8" w14:textId="3E8BCBC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Top up grant provided by the regional GBV program. The project contributes to the long-term goal of WCCC to eliminate all forms of violence, abuse and discrimination against women and children in Tonga using a human rights framework. </w:t>
            </w:r>
            <w:r w:rsidRPr="0072753B">
              <w:rPr>
                <w:rFonts w:asciiTheme="majorHAnsi" w:hAnsiTheme="majorHAnsi" w:cstheme="majorHAnsi"/>
                <w:sz w:val="20"/>
                <w:szCs w:val="20"/>
              </w:rPr>
              <w:tab/>
            </w:r>
            <w:r w:rsidRPr="0072753B">
              <w:rPr>
                <w:rFonts w:asciiTheme="majorHAnsi" w:hAnsiTheme="majorHAnsi" w:cstheme="majorHAnsi"/>
                <w:sz w:val="20"/>
                <w:szCs w:val="20"/>
              </w:rPr>
              <w:tab/>
            </w:r>
          </w:p>
        </w:tc>
        <w:tc>
          <w:tcPr>
            <w:tcW w:w="0" w:type="dxa"/>
            <w:tcBorders>
              <w:top w:val="single" w:sz="4" w:space="0" w:color="auto"/>
              <w:bottom w:val="single" w:sz="4" w:space="0" w:color="auto"/>
            </w:tcBorders>
          </w:tcPr>
          <w:p w14:paraId="292ED0BF" w14:textId="70163FB2"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tc>
        <w:tc>
          <w:tcPr>
            <w:tcW w:w="0" w:type="dxa"/>
            <w:tcBorders>
              <w:top w:val="single" w:sz="4" w:space="0" w:color="auto"/>
              <w:bottom w:val="single" w:sz="4" w:space="0" w:color="auto"/>
            </w:tcBorders>
            <w:tcMar>
              <w:top w:w="85" w:type="dxa"/>
              <w:bottom w:w="85" w:type="dxa"/>
            </w:tcMar>
          </w:tcPr>
          <w:p w14:paraId="2E437D55" w14:textId="5538399F"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$988,172</w:t>
            </w:r>
          </w:p>
          <w:p w14:paraId="6E2BF7B3" w14:textId="77777777" w:rsidR="00C6065B" w:rsidRPr="0072753B" w:rsidRDefault="00C6065B"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40B05C8" w14:textId="27CA755B" w:rsidR="00C6065B" w:rsidRPr="0072753B" w:rsidRDefault="00C6065B"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2024 - 2025</w:t>
            </w:r>
          </w:p>
        </w:tc>
        <w:tc>
          <w:tcPr>
            <w:tcW w:w="0" w:type="dxa"/>
            <w:tcBorders>
              <w:top w:val="single" w:sz="4" w:space="0" w:color="auto"/>
              <w:bottom w:val="single" w:sz="4" w:space="0" w:color="auto"/>
            </w:tcBorders>
          </w:tcPr>
          <w:p w14:paraId="35E98DB1" w14:textId="69076632" w:rsidR="00C6065B" w:rsidRPr="0072753B" w:rsidRDefault="00C6065B"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Ongoing </w:t>
            </w:r>
          </w:p>
        </w:tc>
      </w:tr>
      <w:tr w:rsidR="00F44B03" w:rsidRPr="0072753B" w14:paraId="3B67BBBF" w14:textId="77777777" w:rsidTr="00CA6E7B">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45611FDB" w14:textId="6BC67C60" w:rsidR="00C6065B" w:rsidRPr="0072753B" w:rsidRDefault="00C6065B"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24</w:t>
            </w:r>
          </w:p>
        </w:tc>
        <w:tc>
          <w:tcPr>
            <w:tcW w:w="0" w:type="dxa"/>
            <w:tcBorders>
              <w:top w:val="single" w:sz="4" w:space="0" w:color="auto"/>
              <w:bottom w:val="single" w:sz="4" w:space="0" w:color="auto"/>
            </w:tcBorders>
            <w:tcMar>
              <w:top w:w="85" w:type="dxa"/>
              <w:bottom w:w="85" w:type="dxa"/>
            </w:tcMar>
          </w:tcPr>
          <w:p w14:paraId="3A0FE362" w14:textId="1BD28FC1"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76006</w:t>
            </w:r>
          </w:p>
        </w:tc>
        <w:tc>
          <w:tcPr>
            <w:tcW w:w="0" w:type="dxa"/>
            <w:tcBorders>
              <w:top w:val="single" w:sz="4" w:space="0" w:color="auto"/>
              <w:bottom w:val="single" w:sz="4" w:space="0" w:color="auto"/>
            </w:tcBorders>
            <w:tcMar>
              <w:top w:w="85" w:type="dxa"/>
              <w:bottom w:w="85" w:type="dxa"/>
            </w:tcMar>
          </w:tcPr>
          <w:p w14:paraId="5EA551CA"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 Trust Fund to End Violence Against Women and Girls</w:t>
            </w:r>
          </w:p>
          <w:p w14:paraId="097AF786"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0E45E3"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(UN Women)</w:t>
            </w:r>
          </w:p>
          <w:p w14:paraId="273ADE03" w14:textId="77777777" w:rsidR="007E73EE" w:rsidRPr="0072753B" w:rsidRDefault="007E73EE"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8A3502B" w14:textId="77777777" w:rsidR="007E73EE" w:rsidRPr="0072753B" w:rsidRDefault="007E73EE"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C4329CB" w14:textId="77777777" w:rsidR="007E73EE" w:rsidRPr="0072753B" w:rsidRDefault="007E73EE"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09A04E9" w14:textId="77777777" w:rsidR="007E73EE" w:rsidRPr="0072753B" w:rsidRDefault="007E73EE" w:rsidP="007275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E9303BE" w14:textId="33B60FD0" w:rsidR="007E73EE" w:rsidRPr="0072753B" w:rsidRDefault="007E73EE" w:rsidP="0072753B">
            <w:pPr>
              <w:ind w:firstLine="7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45296FF9" w14:textId="2CAE1DB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This agreement supports three interconnected initiatives aimed at addressing and preventing violence against women and girls (VAWG). First, it contributes to the UN Joint Programme on Essential Services by providing technical guidance for the development and delivery of quality multi-sectoral services for survivors of violence. Second, it advances prevention efforts in the Indo-Pacific region by addressing root causes and risk factors of VAWG through prevention frameworks, research, and related initiatives (with no current activities in the Pacific). Third, it supports the UN Trust Fund to End Violence Against Women which provides grants to civil society and women’s rights organi</w:t>
            </w:r>
            <w:r w:rsidR="0072753B" w:rsidRPr="0072753B">
              <w:rPr>
                <w:rFonts w:asciiTheme="majorHAnsi" w:hAnsiTheme="majorHAnsi" w:cstheme="majorHAnsi"/>
                <w:sz w:val="20"/>
                <w:szCs w:val="20"/>
              </w:rPr>
              <w:t>s</w:t>
            </w:r>
            <w:r w:rsidRPr="0072753B">
              <w:rPr>
                <w:rFonts w:asciiTheme="majorHAnsi" w:hAnsiTheme="majorHAnsi" w:cstheme="majorHAnsi"/>
                <w:sz w:val="20"/>
                <w:szCs w:val="20"/>
              </w:rPr>
              <w:t>ations to strengthen community-level responses to VAWG globally.</w:t>
            </w:r>
          </w:p>
          <w:p w14:paraId="39033B08"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Pr>
          <w:p w14:paraId="475C221C"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4BFC85C9" w14:textId="511242FC"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w:t>
            </w:r>
          </w:p>
        </w:tc>
        <w:tc>
          <w:tcPr>
            <w:tcW w:w="0" w:type="dxa"/>
            <w:tcBorders>
              <w:top w:val="single" w:sz="4" w:space="0" w:color="auto"/>
              <w:bottom w:val="single" w:sz="4" w:space="0" w:color="auto"/>
            </w:tcBorders>
            <w:tcMar>
              <w:top w:w="85" w:type="dxa"/>
              <w:bottom w:w="85" w:type="dxa"/>
            </w:tcMar>
          </w:tcPr>
          <w:p w14:paraId="4A5DDAB0"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$22,500,000</w:t>
            </w:r>
          </w:p>
          <w:p w14:paraId="471D8E15" w14:textId="77777777"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1A54EBB" w14:textId="5EA55599" w:rsidR="00C6065B" w:rsidRPr="0072753B" w:rsidRDefault="00C6065B"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2021 – 2025 </w:t>
            </w:r>
          </w:p>
        </w:tc>
        <w:tc>
          <w:tcPr>
            <w:tcW w:w="0" w:type="dxa"/>
            <w:tcBorders>
              <w:top w:val="single" w:sz="4" w:space="0" w:color="auto"/>
              <w:bottom w:val="single" w:sz="4" w:space="0" w:color="auto"/>
            </w:tcBorders>
          </w:tcPr>
          <w:p w14:paraId="2DCA2630" w14:textId="5B1A963B" w:rsidR="00C6065B" w:rsidRPr="0072753B" w:rsidRDefault="00C6065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Ongoing</w:t>
            </w:r>
          </w:p>
        </w:tc>
      </w:tr>
    </w:tbl>
    <w:p w14:paraId="57E7FB90" w14:textId="77777777" w:rsidR="00663296" w:rsidRPr="0072753B" w:rsidRDefault="00663296" w:rsidP="0072753B">
      <w:pPr>
        <w:jc w:val="left"/>
        <w:rPr>
          <w:rFonts w:asciiTheme="majorHAnsi" w:hAnsiTheme="majorHAnsi" w:cstheme="majorHAnsi"/>
          <w:b/>
          <w:bCs/>
          <w:sz w:val="20"/>
          <w:szCs w:val="20"/>
        </w:rPr>
      </w:pPr>
    </w:p>
    <w:p w14:paraId="33D64696" w14:textId="77777777" w:rsidR="00C65E69" w:rsidRPr="0072753B" w:rsidRDefault="00C65E69" w:rsidP="0072753B">
      <w:pPr>
        <w:jc w:val="left"/>
        <w:rPr>
          <w:rFonts w:asciiTheme="majorHAnsi" w:hAnsiTheme="majorHAnsi" w:cstheme="majorHAnsi"/>
          <w:b/>
          <w:bCs/>
          <w:sz w:val="20"/>
          <w:szCs w:val="20"/>
        </w:rPr>
      </w:pPr>
    </w:p>
    <w:p w14:paraId="62B5EBB8" w14:textId="6E22D4CD" w:rsidR="003079C2" w:rsidRPr="0072753B" w:rsidRDefault="003079C2" w:rsidP="0072753B">
      <w:pPr>
        <w:jc w:val="left"/>
        <w:rPr>
          <w:rFonts w:asciiTheme="majorHAnsi" w:hAnsiTheme="majorHAnsi" w:cstheme="majorHAnsi"/>
          <w:b/>
          <w:bCs/>
          <w:sz w:val="20"/>
          <w:szCs w:val="20"/>
        </w:rPr>
      </w:pPr>
      <w:r w:rsidRPr="0072753B">
        <w:rPr>
          <w:rFonts w:asciiTheme="majorHAnsi" w:hAnsiTheme="majorHAnsi" w:cstheme="majorHAnsi"/>
          <w:b/>
          <w:bCs/>
          <w:sz w:val="20"/>
          <w:szCs w:val="20"/>
        </w:rPr>
        <w:t xml:space="preserve">Table </w:t>
      </w:r>
      <w:r w:rsidR="00442822" w:rsidRPr="0072753B">
        <w:rPr>
          <w:rFonts w:asciiTheme="majorHAnsi" w:hAnsiTheme="majorHAnsi" w:cstheme="majorHAnsi"/>
          <w:b/>
          <w:bCs/>
          <w:sz w:val="20"/>
          <w:szCs w:val="20"/>
        </w:rPr>
        <w:t>8</w:t>
      </w:r>
      <w:r w:rsidRPr="0072753B">
        <w:rPr>
          <w:rFonts w:asciiTheme="majorHAnsi" w:hAnsiTheme="majorHAnsi" w:cstheme="majorHAnsi"/>
          <w:b/>
          <w:bCs/>
          <w:sz w:val="20"/>
          <w:szCs w:val="20"/>
        </w:rPr>
        <w:t xml:space="preserve">: DFAT regional research </w:t>
      </w:r>
      <w:r w:rsidR="004A7E88" w:rsidRPr="0072753B">
        <w:rPr>
          <w:rFonts w:asciiTheme="majorHAnsi" w:hAnsiTheme="majorHAnsi" w:cstheme="majorHAnsi"/>
          <w:b/>
          <w:bCs/>
          <w:sz w:val="20"/>
          <w:szCs w:val="20"/>
        </w:rPr>
        <w:t xml:space="preserve">grants </w:t>
      </w:r>
      <w:r w:rsidR="00420905" w:rsidRPr="0072753B">
        <w:rPr>
          <w:rFonts w:asciiTheme="majorHAnsi" w:hAnsiTheme="majorHAnsi" w:cstheme="majorHAnsi"/>
          <w:b/>
          <w:bCs/>
          <w:sz w:val="20"/>
          <w:szCs w:val="20"/>
        </w:rPr>
        <w:t>as of 31 August 2025</w:t>
      </w:r>
    </w:p>
    <w:tbl>
      <w:tblPr>
        <w:tblStyle w:val="PlainTable2"/>
        <w:tblW w:w="14634" w:type="dxa"/>
        <w:tblInd w:w="-10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1853"/>
        <w:gridCol w:w="2950"/>
        <w:gridCol w:w="2774"/>
        <w:gridCol w:w="1891"/>
        <w:gridCol w:w="2146"/>
        <w:gridCol w:w="2088"/>
      </w:tblGrid>
      <w:tr w:rsidR="00F556DE" w:rsidRPr="0072753B" w14:paraId="5C8CDA0E" w14:textId="77777777" w:rsidTr="00304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Borders>
              <w:bottom w:val="single" w:sz="4" w:space="0" w:color="auto"/>
            </w:tcBorders>
            <w:shd w:val="clear" w:color="auto" w:fill="006699"/>
            <w:tcMar>
              <w:top w:w="85" w:type="dxa"/>
              <w:bottom w:w="85" w:type="dxa"/>
            </w:tcMar>
            <w:vAlign w:val="center"/>
          </w:tcPr>
          <w:p w14:paraId="63C19877" w14:textId="50B2BE6E" w:rsidR="003079C2" w:rsidRPr="0072753B" w:rsidRDefault="003079C2" w:rsidP="0072753B">
            <w:pPr>
              <w:spacing w:line="276" w:lineRule="auto"/>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lastRenderedPageBreak/>
              <w:t>No.</w:t>
            </w:r>
          </w:p>
        </w:tc>
        <w:tc>
          <w:tcPr>
            <w:tcW w:w="1853" w:type="dxa"/>
            <w:tcBorders>
              <w:bottom w:val="single" w:sz="4" w:space="0" w:color="auto"/>
            </w:tcBorders>
            <w:shd w:val="clear" w:color="auto" w:fill="006699"/>
            <w:tcMar>
              <w:top w:w="85" w:type="dxa"/>
              <w:bottom w:w="85" w:type="dxa"/>
            </w:tcMar>
            <w:vAlign w:val="center"/>
          </w:tcPr>
          <w:p w14:paraId="1502F71B" w14:textId="74405BA6" w:rsidR="003079C2" w:rsidRPr="0072753B" w:rsidRDefault="003079C2"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72753B">
              <w:rPr>
                <w:rFonts w:asciiTheme="majorHAnsi" w:hAnsiTheme="majorHAnsi" w:cstheme="majorHAnsi"/>
                <w:color w:val="FFFFFF" w:themeColor="background1"/>
                <w:sz w:val="20"/>
                <w:szCs w:val="20"/>
              </w:rPr>
              <w:t>Aidworks</w:t>
            </w:r>
            <w:proofErr w:type="spellEnd"/>
            <w:r w:rsidRPr="0072753B">
              <w:rPr>
                <w:rFonts w:asciiTheme="majorHAnsi" w:hAnsiTheme="majorHAnsi" w:cstheme="majorHAnsi"/>
                <w:color w:val="FFFFFF" w:themeColor="background1"/>
                <w:sz w:val="20"/>
                <w:szCs w:val="20"/>
              </w:rPr>
              <w:t xml:space="preserve"> number</w:t>
            </w:r>
          </w:p>
        </w:tc>
        <w:tc>
          <w:tcPr>
            <w:tcW w:w="2950" w:type="dxa"/>
            <w:tcBorders>
              <w:bottom w:val="single" w:sz="4" w:space="0" w:color="auto"/>
            </w:tcBorders>
            <w:shd w:val="clear" w:color="auto" w:fill="006699"/>
            <w:tcMar>
              <w:top w:w="85" w:type="dxa"/>
              <w:bottom w:w="85" w:type="dxa"/>
            </w:tcMar>
            <w:vAlign w:val="center"/>
          </w:tcPr>
          <w:p w14:paraId="2DCE9389" w14:textId="6408D967" w:rsidR="003079C2" w:rsidRPr="0072753B" w:rsidRDefault="003079C2"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Project name and partner</w:t>
            </w:r>
          </w:p>
        </w:tc>
        <w:tc>
          <w:tcPr>
            <w:tcW w:w="2774" w:type="dxa"/>
            <w:tcBorders>
              <w:bottom w:val="single" w:sz="4" w:space="0" w:color="auto"/>
            </w:tcBorders>
            <w:shd w:val="clear" w:color="auto" w:fill="006699"/>
            <w:tcMar>
              <w:top w:w="85" w:type="dxa"/>
              <w:bottom w:w="85" w:type="dxa"/>
            </w:tcMar>
            <w:vAlign w:val="center"/>
          </w:tcPr>
          <w:p w14:paraId="68FEC89B" w14:textId="4289260D" w:rsidR="003079C2" w:rsidRPr="0072753B" w:rsidRDefault="003079C2"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Project description</w:t>
            </w:r>
          </w:p>
        </w:tc>
        <w:tc>
          <w:tcPr>
            <w:tcW w:w="1891" w:type="dxa"/>
            <w:tcBorders>
              <w:bottom w:val="single" w:sz="4" w:space="0" w:color="auto"/>
            </w:tcBorders>
            <w:shd w:val="clear" w:color="auto" w:fill="006699"/>
            <w:vAlign w:val="center"/>
          </w:tcPr>
          <w:p w14:paraId="1162DA59" w14:textId="22858E33" w:rsidR="003079C2" w:rsidRPr="0072753B" w:rsidRDefault="003079C2"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Countries</w:t>
            </w:r>
          </w:p>
        </w:tc>
        <w:tc>
          <w:tcPr>
            <w:tcW w:w="2146" w:type="dxa"/>
            <w:tcBorders>
              <w:bottom w:val="single" w:sz="4" w:space="0" w:color="auto"/>
            </w:tcBorders>
            <w:shd w:val="clear" w:color="auto" w:fill="006699"/>
            <w:tcMar>
              <w:top w:w="85" w:type="dxa"/>
              <w:bottom w:w="85" w:type="dxa"/>
            </w:tcMar>
            <w:vAlign w:val="center"/>
          </w:tcPr>
          <w:p w14:paraId="185F3B5C" w14:textId="78AD0D52" w:rsidR="003079C2" w:rsidRPr="0072753B" w:rsidRDefault="003079C2"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Value (AUD) / timeframe</w:t>
            </w:r>
          </w:p>
        </w:tc>
        <w:tc>
          <w:tcPr>
            <w:tcW w:w="2088" w:type="dxa"/>
            <w:tcBorders>
              <w:bottom w:val="single" w:sz="4" w:space="0" w:color="auto"/>
            </w:tcBorders>
            <w:shd w:val="clear" w:color="auto" w:fill="006699"/>
          </w:tcPr>
          <w:p w14:paraId="187506A6" w14:textId="21E4F7FB" w:rsidR="003079C2" w:rsidRPr="0072753B" w:rsidRDefault="003079C2" w:rsidP="0072753B">
            <w:pPr>
              <w:pStyle w:val="BodyText"/>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72753B">
              <w:rPr>
                <w:rFonts w:asciiTheme="majorHAnsi" w:hAnsiTheme="majorHAnsi" w:cstheme="majorHAnsi"/>
                <w:color w:val="FFFFFF" w:themeColor="background1"/>
                <w:szCs w:val="20"/>
              </w:rPr>
              <w:t>Project status</w:t>
            </w:r>
          </w:p>
        </w:tc>
      </w:tr>
      <w:tr w:rsidR="00F556DE" w:rsidRPr="0072753B" w14:paraId="3FC1AEE7"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Borders>
              <w:top w:val="single" w:sz="4" w:space="0" w:color="auto"/>
              <w:bottom w:val="single" w:sz="4" w:space="0" w:color="auto"/>
            </w:tcBorders>
            <w:tcMar>
              <w:top w:w="85" w:type="dxa"/>
              <w:bottom w:w="85" w:type="dxa"/>
            </w:tcMar>
          </w:tcPr>
          <w:p w14:paraId="51F4C60C" w14:textId="4648060E" w:rsidR="003079C2" w:rsidRPr="0072753B" w:rsidRDefault="003079C2" w:rsidP="0072753B">
            <w:pPr>
              <w:spacing w:line="276" w:lineRule="auto"/>
              <w:rPr>
                <w:rFonts w:asciiTheme="majorHAnsi" w:hAnsiTheme="majorHAnsi" w:cstheme="majorHAnsi"/>
                <w:sz w:val="20"/>
                <w:szCs w:val="20"/>
              </w:rPr>
            </w:pPr>
            <w:r w:rsidRPr="0072753B">
              <w:rPr>
                <w:rFonts w:ascii="Arial" w:hAnsi="Arial" w:cs="Arial"/>
                <w:sz w:val="20"/>
                <w:szCs w:val="20"/>
              </w:rPr>
              <w:t>1</w:t>
            </w:r>
          </w:p>
        </w:tc>
        <w:tc>
          <w:tcPr>
            <w:tcW w:w="1853" w:type="dxa"/>
            <w:tcBorders>
              <w:top w:val="single" w:sz="4" w:space="0" w:color="auto"/>
              <w:bottom w:val="single" w:sz="4" w:space="0" w:color="auto"/>
            </w:tcBorders>
            <w:tcMar>
              <w:top w:w="85" w:type="dxa"/>
              <w:bottom w:w="85" w:type="dxa"/>
            </w:tcMar>
          </w:tcPr>
          <w:p w14:paraId="365E88BD"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76473</w:t>
            </w:r>
          </w:p>
        </w:tc>
        <w:tc>
          <w:tcPr>
            <w:tcW w:w="2950" w:type="dxa"/>
            <w:tcBorders>
              <w:top w:val="single" w:sz="4" w:space="0" w:color="auto"/>
              <w:bottom w:val="single" w:sz="4" w:space="0" w:color="auto"/>
            </w:tcBorders>
            <w:tcMar>
              <w:top w:w="85" w:type="dxa"/>
              <w:bottom w:w="85" w:type="dxa"/>
            </w:tcMar>
          </w:tcPr>
          <w:p w14:paraId="63B07973"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Building Back Better: Promoting gender data-driven response to the COVID-19 pandemic in the Pacific and South-east Asia </w:t>
            </w:r>
          </w:p>
          <w:p w14:paraId="043012DD"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5052D8" w14:textId="77777777" w:rsidR="003079C2" w:rsidRPr="0072753B" w:rsidRDefault="003079C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(UN Women)</w:t>
            </w:r>
          </w:p>
        </w:tc>
        <w:tc>
          <w:tcPr>
            <w:tcW w:w="2774" w:type="dxa"/>
            <w:tcBorders>
              <w:top w:val="single" w:sz="4" w:space="0" w:color="auto"/>
              <w:bottom w:val="single" w:sz="4" w:space="0" w:color="auto"/>
            </w:tcBorders>
            <w:tcMar>
              <w:top w:w="85" w:type="dxa"/>
              <w:bottom w:w="85" w:type="dxa"/>
            </w:tcMar>
          </w:tcPr>
          <w:p w14:paraId="7B8708E6"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The project increased the production and use of quality, timely data to ensure that COVID-19 response and recovery efforts addressed gender inequality, provided maximum protection from the pandemic's impacts, and enabled women’s and girls’ full contributions to recovery.</w:t>
            </w:r>
          </w:p>
        </w:tc>
        <w:tc>
          <w:tcPr>
            <w:tcW w:w="1891" w:type="dxa"/>
            <w:tcBorders>
              <w:top w:val="single" w:sz="4" w:space="0" w:color="auto"/>
              <w:bottom w:val="single" w:sz="4" w:space="0" w:color="auto"/>
            </w:tcBorders>
          </w:tcPr>
          <w:p w14:paraId="33ECD7DE"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w:t>
            </w:r>
          </w:p>
          <w:p w14:paraId="41F852C4"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3805348A"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066D56FF" w14:textId="1A1D4840"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tc>
        <w:tc>
          <w:tcPr>
            <w:tcW w:w="2146" w:type="dxa"/>
            <w:tcBorders>
              <w:top w:val="single" w:sz="4" w:space="0" w:color="auto"/>
              <w:bottom w:val="single" w:sz="4" w:space="0" w:color="auto"/>
            </w:tcBorders>
            <w:tcMar>
              <w:top w:w="85" w:type="dxa"/>
              <w:bottom w:w="85" w:type="dxa"/>
            </w:tcMar>
          </w:tcPr>
          <w:p w14:paraId="2BAF166E"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$3,522,558</w:t>
            </w:r>
          </w:p>
          <w:p w14:paraId="76FC50BA"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B1D672" w14:textId="70E85C12"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2021</w:t>
            </w:r>
            <w:r w:rsidR="00113F31" w:rsidRPr="0072753B">
              <w:rPr>
                <w:rFonts w:asciiTheme="majorHAnsi" w:hAnsiTheme="majorHAnsi" w:cstheme="majorHAnsi"/>
                <w:sz w:val="20"/>
                <w:szCs w:val="20"/>
              </w:rPr>
              <w:t xml:space="preserve"> </w:t>
            </w:r>
            <w:r w:rsidRPr="0072753B">
              <w:rPr>
                <w:rFonts w:asciiTheme="majorHAnsi" w:hAnsiTheme="majorHAnsi" w:cstheme="majorHAnsi"/>
                <w:sz w:val="20"/>
                <w:szCs w:val="20"/>
              </w:rPr>
              <w:t>–</w:t>
            </w:r>
            <w:r w:rsidR="00113F31" w:rsidRPr="0072753B">
              <w:rPr>
                <w:rFonts w:asciiTheme="majorHAnsi" w:hAnsiTheme="majorHAnsi" w:cstheme="majorHAnsi"/>
                <w:sz w:val="20"/>
                <w:szCs w:val="20"/>
              </w:rPr>
              <w:t xml:space="preserve"> </w:t>
            </w:r>
            <w:r w:rsidRPr="0072753B">
              <w:rPr>
                <w:rFonts w:asciiTheme="majorHAnsi" w:hAnsiTheme="majorHAnsi" w:cstheme="majorHAnsi"/>
                <w:sz w:val="20"/>
                <w:szCs w:val="20"/>
              </w:rPr>
              <w:t>2023</w:t>
            </w:r>
          </w:p>
          <w:p w14:paraId="697CBC63"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1540E29" w14:textId="5E564A92" w:rsidR="003079C2" w:rsidRPr="0072753B" w:rsidRDefault="003079C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tc>
        <w:tc>
          <w:tcPr>
            <w:tcW w:w="2088" w:type="dxa"/>
            <w:tcBorders>
              <w:top w:val="single" w:sz="4" w:space="0" w:color="auto"/>
              <w:bottom w:val="single" w:sz="4" w:space="0" w:color="auto"/>
            </w:tcBorders>
          </w:tcPr>
          <w:p w14:paraId="40B01FD3" w14:textId="2F77A3D9" w:rsidR="003079C2" w:rsidRPr="0072753B" w:rsidRDefault="003079C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F556DE" w:rsidRPr="0072753B" w14:paraId="7804D3AD" w14:textId="77777777" w:rsidTr="00CA6E7B">
        <w:tc>
          <w:tcPr>
            <w:cnfStyle w:val="001000000000" w:firstRow="0" w:lastRow="0" w:firstColumn="1" w:lastColumn="0" w:oddVBand="0" w:evenVBand="0" w:oddHBand="0" w:evenHBand="0" w:firstRowFirstColumn="0" w:firstRowLastColumn="0" w:lastRowFirstColumn="0" w:lastRowLastColumn="0"/>
            <w:tcW w:w="932" w:type="dxa"/>
            <w:tcBorders>
              <w:top w:val="single" w:sz="4" w:space="0" w:color="auto"/>
              <w:bottom w:val="single" w:sz="4" w:space="0" w:color="auto"/>
            </w:tcBorders>
            <w:tcMar>
              <w:top w:w="85" w:type="dxa"/>
              <w:bottom w:w="85" w:type="dxa"/>
            </w:tcMar>
          </w:tcPr>
          <w:p w14:paraId="30C76EC1" w14:textId="0300D387" w:rsidR="003079C2" w:rsidRPr="0072753B" w:rsidRDefault="003079C2"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2</w:t>
            </w:r>
          </w:p>
        </w:tc>
        <w:tc>
          <w:tcPr>
            <w:tcW w:w="1853" w:type="dxa"/>
            <w:tcBorders>
              <w:top w:val="single" w:sz="4" w:space="0" w:color="auto"/>
              <w:bottom w:val="single" w:sz="4" w:space="0" w:color="auto"/>
            </w:tcBorders>
            <w:tcMar>
              <w:top w:w="85" w:type="dxa"/>
              <w:bottom w:w="85" w:type="dxa"/>
            </w:tcMar>
          </w:tcPr>
          <w:p w14:paraId="6DF0A506" w14:textId="34FC45C4"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76470</w:t>
            </w:r>
          </w:p>
        </w:tc>
        <w:tc>
          <w:tcPr>
            <w:tcW w:w="2950" w:type="dxa"/>
            <w:tcBorders>
              <w:top w:val="single" w:sz="4" w:space="0" w:color="auto"/>
              <w:bottom w:val="single" w:sz="4" w:space="0" w:color="auto"/>
            </w:tcBorders>
            <w:tcMar>
              <w:top w:w="85" w:type="dxa"/>
              <w:bottom w:w="85" w:type="dxa"/>
            </w:tcMar>
          </w:tcPr>
          <w:p w14:paraId="4D0D4D57"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Equality Insights: Gender data supporting COVID-19 response and recovery in the Pacific </w:t>
            </w:r>
          </w:p>
          <w:p w14:paraId="125CD3FB"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3F7B8E3" w14:textId="0086848B" w:rsidR="003079C2" w:rsidRPr="0072753B" w:rsidRDefault="002A454B"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(International Women’s Development Agency (IWDA)) </w:t>
            </w:r>
          </w:p>
        </w:tc>
        <w:tc>
          <w:tcPr>
            <w:tcW w:w="2774" w:type="dxa"/>
            <w:tcBorders>
              <w:top w:val="single" w:sz="4" w:space="0" w:color="auto"/>
              <w:bottom w:val="single" w:sz="4" w:space="0" w:color="auto"/>
            </w:tcBorders>
            <w:tcMar>
              <w:top w:w="85" w:type="dxa"/>
              <w:bottom w:w="85" w:type="dxa"/>
            </w:tcMar>
          </w:tcPr>
          <w:p w14:paraId="117CB0EA" w14:textId="55770EBC"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Equality Insights is a gender data program that gathers inclusive data to advance gender equality. Using a gender-sensitive measurement tool, the program collects detailed information on poverty and inequality, shedding light on the experiences of individuals often overlooked in traditional poverty data. These intersectional insights inform policy solutions to address inequality.</w:t>
            </w:r>
          </w:p>
        </w:tc>
        <w:tc>
          <w:tcPr>
            <w:tcW w:w="1891" w:type="dxa"/>
            <w:tcBorders>
              <w:top w:val="single" w:sz="4" w:space="0" w:color="auto"/>
              <w:bottom w:val="single" w:sz="4" w:space="0" w:color="auto"/>
            </w:tcBorders>
          </w:tcPr>
          <w:p w14:paraId="1D7B2C0A"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779BA951" w14:textId="2F7BFC4D"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Solomon Islands</w:t>
            </w:r>
          </w:p>
        </w:tc>
        <w:tc>
          <w:tcPr>
            <w:tcW w:w="2146" w:type="dxa"/>
            <w:tcBorders>
              <w:top w:val="single" w:sz="4" w:space="0" w:color="auto"/>
              <w:bottom w:val="single" w:sz="4" w:space="0" w:color="auto"/>
            </w:tcBorders>
            <w:tcMar>
              <w:top w:w="85" w:type="dxa"/>
              <w:bottom w:w="85" w:type="dxa"/>
            </w:tcMar>
          </w:tcPr>
          <w:p w14:paraId="6130D43A"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$2,516,863</w:t>
            </w:r>
          </w:p>
          <w:p w14:paraId="294AA7CA"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013A762"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2020 – 2022</w:t>
            </w:r>
          </w:p>
          <w:p w14:paraId="7D091A83"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p w14:paraId="29BB7DFD" w14:textId="21E134B0" w:rsidR="003079C2" w:rsidRPr="0072753B" w:rsidRDefault="003079C2"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tc>
        <w:tc>
          <w:tcPr>
            <w:tcW w:w="2088" w:type="dxa"/>
            <w:tcBorders>
              <w:top w:val="single" w:sz="4" w:space="0" w:color="auto"/>
              <w:bottom w:val="single" w:sz="4" w:space="0" w:color="auto"/>
            </w:tcBorders>
          </w:tcPr>
          <w:p w14:paraId="18DD2C9A" w14:textId="359A0576" w:rsidR="003079C2" w:rsidRPr="0072753B" w:rsidRDefault="003079C2"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3079C2" w:rsidRPr="0072753B" w14:paraId="586DB888" w14:textId="77777777" w:rsidTr="00A26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Borders>
              <w:top w:val="single" w:sz="4" w:space="0" w:color="auto"/>
              <w:bottom w:val="single" w:sz="4" w:space="0" w:color="auto"/>
            </w:tcBorders>
            <w:tcMar>
              <w:top w:w="85" w:type="dxa"/>
              <w:bottom w:w="85" w:type="dxa"/>
            </w:tcMar>
          </w:tcPr>
          <w:p w14:paraId="190877BE" w14:textId="590A5C0C" w:rsidR="003079C2" w:rsidRPr="0072753B" w:rsidRDefault="003079C2"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3</w:t>
            </w:r>
          </w:p>
        </w:tc>
        <w:tc>
          <w:tcPr>
            <w:tcW w:w="1853" w:type="dxa"/>
            <w:tcBorders>
              <w:top w:val="single" w:sz="4" w:space="0" w:color="auto"/>
              <w:bottom w:val="single" w:sz="4" w:space="0" w:color="auto"/>
            </w:tcBorders>
            <w:tcMar>
              <w:top w:w="85" w:type="dxa"/>
              <w:bottom w:w="85" w:type="dxa"/>
            </w:tcMar>
          </w:tcPr>
          <w:p w14:paraId="74E66A7E" w14:textId="134F14A6"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72938/47</w:t>
            </w:r>
          </w:p>
        </w:tc>
        <w:tc>
          <w:tcPr>
            <w:tcW w:w="2950" w:type="dxa"/>
            <w:tcBorders>
              <w:top w:val="single" w:sz="4" w:space="0" w:color="auto"/>
              <w:bottom w:val="single" w:sz="4" w:space="0" w:color="auto"/>
            </w:tcBorders>
            <w:tcMar>
              <w:top w:w="85" w:type="dxa"/>
              <w:bottom w:w="85" w:type="dxa"/>
            </w:tcMar>
          </w:tcPr>
          <w:p w14:paraId="5BD7D90E" w14:textId="45985056"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Strengthening Capacities for Measuring Violence Against Women (</w:t>
            </w:r>
            <w:proofErr w:type="spellStart"/>
            <w:r w:rsidRPr="0072753B">
              <w:rPr>
                <w:rFonts w:asciiTheme="majorHAnsi" w:hAnsiTheme="majorHAnsi" w:cstheme="majorHAnsi"/>
                <w:sz w:val="20"/>
                <w:szCs w:val="20"/>
              </w:rPr>
              <w:t>kNOwVAWdata</w:t>
            </w:r>
            <w:proofErr w:type="spellEnd"/>
            <w:r w:rsidRPr="0072753B">
              <w:rPr>
                <w:rFonts w:asciiTheme="majorHAnsi" w:hAnsiTheme="majorHAnsi" w:cstheme="majorHAnsi"/>
                <w:sz w:val="20"/>
                <w:szCs w:val="20"/>
              </w:rPr>
              <w:t xml:space="preserve">) </w:t>
            </w:r>
          </w:p>
          <w:p w14:paraId="02AEC322"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6906600" w14:textId="43978257" w:rsidR="003079C2" w:rsidRPr="0072753B" w:rsidRDefault="00B91FF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w:t>
            </w:r>
            <w:r w:rsidR="00126672" w:rsidRPr="0072753B">
              <w:rPr>
                <w:rFonts w:asciiTheme="majorHAnsi" w:hAnsiTheme="majorHAnsi" w:cstheme="majorHAnsi"/>
                <w:szCs w:val="20"/>
              </w:rPr>
              <w:t>United Nations Population Fund (UNFPA)</w:t>
            </w:r>
            <w:r w:rsidRPr="0072753B">
              <w:rPr>
                <w:rFonts w:asciiTheme="majorHAnsi" w:hAnsiTheme="majorHAnsi" w:cstheme="majorHAnsi"/>
                <w:szCs w:val="20"/>
              </w:rPr>
              <w:t>)</w:t>
            </w:r>
          </w:p>
        </w:tc>
        <w:tc>
          <w:tcPr>
            <w:tcW w:w="2774" w:type="dxa"/>
            <w:tcBorders>
              <w:top w:val="single" w:sz="4" w:space="0" w:color="auto"/>
              <w:bottom w:val="single" w:sz="4" w:space="0" w:color="auto"/>
            </w:tcBorders>
            <w:tcMar>
              <w:top w:w="85" w:type="dxa"/>
              <w:bottom w:w="85" w:type="dxa"/>
            </w:tcMar>
          </w:tcPr>
          <w:p w14:paraId="2CA5DC27" w14:textId="33E205F5"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 xml:space="preserve">This project aims to support and strengthen regional and national capacity to measure </w:t>
            </w:r>
            <w:r w:rsidRPr="0072753B">
              <w:rPr>
                <w:rFonts w:asciiTheme="majorHAnsi" w:hAnsiTheme="majorHAnsi" w:cstheme="majorHAnsi"/>
                <w:sz w:val="20"/>
                <w:szCs w:val="20"/>
              </w:rPr>
              <w:lastRenderedPageBreak/>
              <w:t>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1891" w:type="dxa"/>
            <w:tcBorders>
              <w:top w:val="single" w:sz="4" w:space="0" w:color="auto"/>
              <w:bottom w:val="single" w:sz="4" w:space="0" w:color="auto"/>
            </w:tcBorders>
          </w:tcPr>
          <w:p w14:paraId="5E765EC8"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RMI</w:t>
            </w:r>
          </w:p>
          <w:p w14:paraId="4A4430EA"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Samoa</w:t>
            </w:r>
          </w:p>
          <w:p w14:paraId="4E6B7070"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Tonga</w:t>
            </w:r>
          </w:p>
          <w:p w14:paraId="454B6CF5"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Solomon Island</w:t>
            </w:r>
          </w:p>
          <w:p w14:paraId="13CE601A"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FSM</w:t>
            </w:r>
          </w:p>
          <w:p w14:paraId="4FA83454"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Kiribati</w:t>
            </w:r>
          </w:p>
          <w:p w14:paraId="764E6984"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Vanuatu</w:t>
            </w:r>
          </w:p>
          <w:p w14:paraId="1A57C21A"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Fiji</w:t>
            </w:r>
          </w:p>
          <w:p w14:paraId="71FB88F3" w14:textId="5DAA810C"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Asia</w:t>
            </w:r>
          </w:p>
        </w:tc>
        <w:tc>
          <w:tcPr>
            <w:tcW w:w="2146" w:type="dxa"/>
            <w:tcBorders>
              <w:top w:val="single" w:sz="4" w:space="0" w:color="auto"/>
              <w:bottom w:val="single" w:sz="4" w:space="0" w:color="auto"/>
            </w:tcBorders>
            <w:tcMar>
              <w:top w:w="85" w:type="dxa"/>
              <w:bottom w:w="85" w:type="dxa"/>
            </w:tcMar>
          </w:tcPr>
          <w:p w14:paraId="019929A8"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lastRenderedPageBreak/>
              <w:t>$3,000,000</w:t>
            </w:r>
          </w:p>
          <w:p w14:paraId="6BDFBF10" w14:textId="77777777" w:rsidR="003079C2" w:rsidRPr="0072753B" w:rsidRDefault="003079C2"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9C1C8BD" w14:textId="177B864B" w:rsidR="003079C2" w:rsidRPr="0072753B" w:rsidRDefault="003079C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2021</w:t>
            </w:r>
            <w:r w:rsidR="000F15D2" w:rsidRPr="0072753B">
              <w:rPr>
                <w:rFonts w:asciiTheme="majorHAnsi" w:hAnsiTheme="majorHAnsi" w:cstheme="majorHAnsi"/>
                <w:szCs w:val="20"/>
              </w:rPr>
              <w:t xml:space="preserve"> </w:t>
            </w:r>
            <w:r w:rsidRPr="0072753B">
              <w:rPr>
                <w:rFonts w:asciiTheme="majorHAnsi" w:hAnsiTheme="majorHAnsi" w:cstheme="majorHAnsi"/>
                <w:szCs w:val="20"/>
              </w:rPr>
              <w:t>–</w:t>
            </w:r>
            <w:r w:rsidR="000F15D2" w:rsidRPr="0072753B">
              <w:rPr>
                <w:rFonts w:asciiTheme="majorHAnsi" w:hAnsiTheme="majorHAnsi" w:cstheme="majorHAnsi"/>
                <w:szCs w:val="20"/>
              </w:rPr>
              <w:t xml:space="preserve"> </w:t>
            </w:r>
            <w:r w:rsidRPr="0072753B">
              <w:rPr>
                <w:rFonts w:asciiTheme="majorHAnsi" w:hAnsiTheme="majorHAnsi" w:cstheme="majorHAnsi"/>
                <w:szCs w:val="20"/>
              </w:rPr>
              <w:t>2024</w:t>
            </w:r>
          </w:p>
        </w:tc>
        <w:tc>
          <w:tcPr>
            <w:tcW w:w="2088" w:type="dxa"/>
            <w:tcBorders>
              <w:top w:val="single" w:sz="4" w:space="0" w:color="auto"/>
              <w:bottom w:val="single" w:sz="4" w:space="0" w:color="auto"/>
            </w:tcBorders>
          </w:tcPr>
          <w:p w14:paraId="7A3EDB3D" w14:textId="6309880A" w:rsidR="003079C2" w:rsidRPr="0072753B" w:rsidRDefault="003079C2" w:rsidP="0072753B">
            <w:pPr>
              <w:pStyle w:val="BodyText"/>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Completed</w:t>
            </w:r>
          </w:p>
        </w:tc>
      </w:tr>
      <w:tr w:rsidR="00F556DE" w:rsidRPr="0072753B" w14:paraId="7682F546" w14:textId="77777777" w:rsidTr="00CA6E7B">
        <w:tc>
          <w:tcPr>
            <w:cnfStyle w:val="001000000000" w:firstRow="0" w:lastRow="0" w:firstColumn="1" w:lastColumn="0" w:oddVBand="0" w:evenVBand="0" w:oddHBand="0" w:evenHBand="0" w:firstRowFirstColumn="0" w:firstRowLastColumn="0" w:lastRowFirstColumn="0" w:lastRowLastColumn="0"/>
            <w:tcW w:w="932" w:type="dxa"/>
            <w:tcBorders>
              <w:top w:val="single" w:sz="4" w:space="0" w:color="auto"/>
            </w:tcBorders>
            <w:tcMar>
              <w:top w:w="85" w:type="dxa"/>
              <w:bottom w:w="85" w:type="dxa"/>
            </w:tcMar>
          </w:tcPr>
          <w:p w14:paraId="7F21799F" w14:textId="5F8F1E56" w:rsidR="003079C2" w:rsidRPr="0072753B" w:rsidRDefault="003079C2" w:rsidP="0072753B">
            <w:pPr>
              <w:spacing w:line="276" w:lineRule="auto"/>
              <w:rPr>
                <w:rFonts w:asciiTheme="majorHAnsi" w:hAnsiTheme="majorHAnsi" w:cstheme="majorHAnsi"/>
                <w:sz w:val="20"/>
                <w:szCs w:val="20"/>
              </w:rPr>
            </w:pPr>
            <w:r w:rsidRPr="0072753B">
              <w:rPr>
                <w:rFonts w:asciiTheme="majorHAnsi" w:hAnsiTheme="majorHAnsi" w:cstheme="majorHAnsi"/>
                <w:sz w:val="20"/>
                <w:szCs w:val="20"/>
              </w:rPr>
              <w:t>4</w:t>
            </w:r>
          </w:p>
        </w:tc>
        <w:tc>
          <w:tcPr>
            <w:tcW w:w="1853" w:type="dxa"/>
            <w:tcBorders>
              <w:top w:val="single" w:sz="4" w:space="0" w:color="auto"/>
            </w:tcBorders>
            <w:tcMar>
              <w:top w:w="85" w:type="dxa"/>
              <w:bottom w:w="85" w:type="dxa"/>
            </w:tcMar>
          </w:tcPr>
          <w:p w14:paraId="4243B688" w14:textId="5DD29F31"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73159/26</w:t>
            </w:r>
          </w:p>
        </w:tc>
        <w:tc>
          <w:tcPr>
            <w:tcW w:w="2950" w:type="dxa"/>
            <w:tcBorders>
              <w:top w:val="single" w:sz="4" w:space="0" w:color="auto"/>
            </w:tcBorders>
            <w:tcMar>
              <w:top w:w="85" w:type="dxa"/>
              <w:bottom w:w="85" w:type="dxa"/>
            </w:tcMar>
          </w:tcPr>
          <w:p w14:paraId="5D741277" w14:textId="30FE7F9F"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Making Every Woman and Girl Count</w:t>
            </w:r>
          </w:p>
          <w:p w14:paraId="3ABE5D4B" w14:textId="5A7A14A7" w:rsidR="003079C2" w:rsidRPr="0072753B" w:rsidRDefault="003079C2"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(UN Women)</w:t>
            </w:r>
          </w:p>
        </w:tc>
        <w:tc>
          <w:tcPr>
            <w:tcW w:w="2774" w:type="dxa"/>
            <w:tcBorders>
              <w:top w:val="single" w:sz="4" w:space="0" w:color="auto"/>
            </w:tcBorders>
            <w:tcMar>
              <w:top w:w="85" w:type="dxa"/>
              <w:bottom w:w="85" w:type="dxa"/>
            </w:tcMar>
          </w:tcPr>
          <w:p w14:paraId="04392698"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This multi-donor flagship program aims to create a radical shift in how gender statistics are used, created and promoted to inform policy and advocacy on gender equality and women’s rights. </w:t>
            </w:r>
          </w:p>
          <w:p w14:paraId="340DD093" w14:textId="1F8A3644"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 </w:t>
            </w:r>
          </w:p>
        </w:tc>
        <w:tc>
          <w:tcPr>
            <w:tcW w:w="1891" w:type="dxa"/>
            <w:tcBorders>
              <w:top w:val="single" w:sz="4" w:space="0" w:color="auto"/>
            </w:tcBorders>
          </w:tcPr>
          <w:p w14:paraId="11077870" w14:textId="3A41BEF5"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46" w:type="dxa"/>
            <w:tcBorders>
              <w:top w:val="single" w:sz="4" w:space="0" w:color="auto"/>
            </w:tcBorders>
            <w:tcMar>
              <w:top w:w="85" w:type="dxa"/>
              <w:bottom w:w="85" w:type="dxa"/>
            </w:tcMar>
          </w:tcPr>
          <w:p w14:paraId="10F9465E"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$7,000,000</w:t>
            </w:r>
          </w:p>
          <w:p w14:paraId="460D518D" w14:textId="77777777" w:rsidR="003079C2" w:rsidRPr="0072753B" w:rsidRDefault="003079C2" w:rsidP="0072753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6A41CC7" w14:textId="07FE5A0E" w:rsidR="003079C2" w:rsidRPr="0072753B" w:rsidRDefault="003079C2"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2022–2026</w:t>
            </w:r>
          </w:p>
        </w:tc>
        <w:tc>
          <w:tcPr>
            <w:tcW w:w="2088" w:type="dxa"/>
            <w:tcBorders>
              <w:top w:val="single" w:sz="4" w:space="0" w:color="auto"/>
            </w:tcBorders>
          </w:tcPr>
          <w:p w14:paraId="40F0F20F" w14:textId="10A0E162" w:rsidR="003079C2" w:rsidRPr="0072753B" w:rsidRDefault="003079C2" w:rsidP="0072753B">
            <w:pPr>
              <w:pStyle w:val="BodyText"/>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2753B">
              <w:rPr>
                <w:rFonts w:asciiTheme="majorHAnsi" w:hAnsiTheme="majorHAnsi" w:cstheme="majorHAnsi"/>
                <w:szCs w:val="20"/>
              </w:rPr>
              <w:t xml:space="preserve">Ongoing </w:t>
            </w:r>
          </w:p>
        </w:tc>
      </w:tr>
    </w:tbl>
    <w:p w14:paraId="708221BB" w14:textId="1731B5E9" w:rsidR="00966EA1" w:rsidRPr="0072753B" w:rsidRDefault="002722C8" w:rsidP="0072753B">
      <w:pPr>
        <w:pStyle w:val="Heading2"/>
        <w:ind w:hanging="993"/>
      </w:pPr>
      <w:bookmarkStart w:id="34" w:name="_Toc207912574"/>
      <w:bookmarkStart w:id="35" w:name="_Toc208777789"/>
      <w:bookmarkEnd w:id="8"/>
      <w:bookmarkEnd w:id="9"/>
      <w:r w:rsidRPr="0072753B">
        <w:t>Pacific Women Lead Enabling Services</w:t>
      </w:r>
      <w:bookmarkEnd w:id="34"/>
      <w:bookmarkEnd w:id="35"/>
    </w:p>
    <w:p w14:paraId="0B87C08F" w14:textId="0385B54B" w:rsidR="009109D2" w:rsidRPr="0072753B" w:rsidRDefault="00B63199" w:rsidP="0072753B">
      <w:pPr>
        <w:spacing w:line="276" w:lineRule="auto"/>
        <w:jc w:val="left"/>
        <w:rPr>
          <w:rFonts w:asciiTheme="majorHAnsi" w:hAnsiTheme="majorHAnsi" w:cstheme="majorHAnsi"/>
          <w:sz w:val="20"/>
          <w:szCs w:val="20"/>
        </w:rPr>
      </w:pPr>
      <w:r w:rsidRPr="0072753B">
        <w:rPr>
          <w:rFonts w:asciiTheme="majorHAnsi" w:hAnsiTheme="majorHAnsi" w:cstheme="majorHAnsi"/>
          <w:sz w:val="20"/>
          <w:szCs w:val="20"/>
        </w:rPr>
        <w:t xml:space="preserve">Pacific Women Lead Enabling Services (PWLES) </w:t>
      </w:r>
      <w:r w:rsidR="00DD0D37" w:rsidRPr="0072753B">
        <w:rPr>
          <w:rFonts w:asciiTheme="majorHAnsi" w:hAnsiTheme="majorHAnsi" w:cstheme="majorHAnsi"/>
          <w:sz w:val="20"/>
          <w:szCs w:val="20"/>
        </w:rPr>
        <w:t xml:space="preserve">provides </w:t>
      </w:r>
      <w:r w:rsidR="003E5CC9" w:rsidRPr="0072753B">
        <w:rPr>
          <w:rFonts w:asciiTheme="majorHAnsi" w:hAnsiTheme="majorHAnsi" w:cstheme="majorHAnsi"/>
          <w:sz w:val="20"/>
          <w:szCs w:val="20"/>
        </w:rPr>
        <w:t xml:space="preserve">whole-of-portfolio </w:t>
      </w:r>
      <w:r w:rsidR="00DD0D37" w:rsidRPr="0072753B">
        <w:rPr>
          <w:rFonts w:asciiTheme="majorHAnsi" w:hAnsiTheme="majorHAnsi" w:cstheme="majorHAnsi"/>
          <w:sz w:val="20"/>
          <w:szCs w:val="20"/>
        </w:rPr>
        <w:t>monitoring, evaluation and learning</w:t>
      </w:r>
      <w:r w:rsidR="00CC3E20" w:rsidRPr="0072753B">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3EDD83FC" w14:textId="7C234E89" w:rsidR="00FB3252" w:rsidRPr="0072753B" w:rsidRDefault="00FB3252" w:rsidP="0072753B">
      <w:pPr>
        <w:spacing w:line="276" w:lineRule="auto"/>
        <w:jc w:val="left"/>
        <w:rPr>
          <w:rFonts w:asciiTheme="majorHAnsi" w:hAnsiTheme="majorHAnsi" w:cstheme="majorHAnsi"/>
          <w:sz w:val="20"/>
          <w:szCs w:val="20"/>
        </w:rPr>
      </w:pPr>
      <w:r w:rsidRPr="0072753B">
        <w:rPr>
          <w:rFonts w:asciiTheme="majorHAnsi" w:hAnsiTheme="majorHAnsi" w:cstheme="majorHAnsi"/>
          <w:sz w:val="20"/>
          <w:szCs w:val="20"/>
        </w:rPr>
        <w:t xml:space="preserve">PWLES </w:t>
      </w:r>
      <w:r w:rsidR="000B1874" w:rsidRPr="0072753B">
        <w:rPr>
          <w:rFonts w:asciiTheme="majorHAnsi" w:hAnsiTheme="majorHAnsi" w:cstheme="majorHAnsi"/>
          <w:sz w:val="20"/>
          <w:szCs w:val="20"/>
        </w:rPr>
        <w:t>manages</w:t>
      </w:r>
      <w:r w:rsidR="00955515" w:rsidRPr="0072753B">
        <w:rPr>
          <w:rFonts w:asciiTheme="majorHAnsi" w:hAnsiTheme="majorHAnsi" w:cstheme="majorHAnsi"/>
          <w:sz w:val="20"/>
          <w:szCs w:val="20"/>
        </w:rPr>
        <w:t xml:space="preserve"> </w:t>
      </w:r>
      <w:r w:rsidR="00670219" w:rsidRPr="0072753B">
        <w:rPr>
          <w:rFonts w:asciiTheme="majorHAnsi" w:hAnsiTheme="majorHAnsi" w:cstheme="majorHAnsi"/>
          <w:sz w:val="20"/>
          <w:szCs w:val="20"/>
        </w:rPr>
        <w:t>2</w:t>
      </w:r>
      <w:r w:rsidR="00955515" w:rsidRPr="0072753B">
        <w:rPr>
          <w:rFonts w:asciiTheme="majorHAnsi" w:hAnsiTheme="majorHAnsi" w:cstheme="majorHAnsi"/>
          <w:sz w:val="20"/>
          <w:szCs w:val="20"/>
        </w:rPr>
        <w:t xml:space="preserve"> </w:t>
      </w:r>
      <w:r w:rsidR="002A0DF0" w:rsidRPr="0072753B">
        <w:rPr>
          <w:rFonts w:asciiTheme="majorHAnsi" w:hAnsiTheme="majorHAnsi" w:cstheme="majorHAnsi"/>
          <w:sz w:val="20"/>
          <w:szCs w:val="20"/>
        </w:rPr>
        <w:t xml:space="preserve">distinct </w:t>
      </w:r>
      <w:r w:rsidR="00955515" w:rsidRPr="0072753B">
        <w:rPr>
          <w:rFonts w:asciiTheme="majorHAnsi" w:hAnsiTheme="majorHAnsi" w:cstheme="majorHAnsi"/>
          <w:sz w:val="20"/>
          <w:szCs w:val="20"/>
        </w:rPr>
        <w:t>implementing partner</w:t>
      </w:r>
      <w:r w:rsidR="00670219" w:rsidRPr="0072753B">
        <w:rPr>
          <w:rFonts w:asciiTheme="majorHAnsi" w:hAnsiTheme="majorHAnsi" w:cstheme="majorHAnsi"/>
          <w:sz w:val="20"/>
          <w:szCs w:val="20"/>
        </w:rPr>
        <w:t>s</w:t>
      </w:r>
      <w:r w:rsidR="002A0DF0" w:rsidRPr="0072753B">
        <w:rPr>
          <w:rFonts w:asciiTheme="majorHAnsi" w:hAnsiTheme="majorHAnsi" w:cstheme="majorHAnsi"/>
          <w:sz w:val="20"/>
          <w:szCs w:val="20"/>
        </w:rPr>
        <w:t xml:space="preserve"> </w:t>
      </w:r>
      <w:r w:rsidR="00DF5E39" w:rsidRPr="0072753B">
        <w:rPr>
          <w:rFonts w:asciiTheme="majorHAnsi" w:hAnsiTheme="majorHAnsi" w:cstheme="majorHAnsi"/>
          <w:sz w:val="20"/>
          <w:szCs w:val="20"/>
        </w:rPr>
        <w:t>that implement 2 projects</w:t>
      </w:r>
      <w:r w:rsidR="00027EE4" w:rsidRPr="0072753B">
        <w:rPr>
          <w:rFonts w:asciiTheme="majorHAnsi" w:hAnsiTheme="majorHAnsi" w:cstheme="majorHAnsi"/>
          <w:sz w:val="20"/>
          <w:szCs w:val="20"/>
        </w:rPr>
        <w:t xml:space="preserve">. Of these, We Rise Coalition Phase 3 has </w:t>
      </w:r>
      <w:r w:rsidR="005902AB" w:rsidRPr="0072753B">
        <w:rPr>
          <w:rFonts w:asciiTheme="majorHAnsi" w:hAnsiTheme="majorHAnsi" w:cstheme="majorHAnsi"/>
          <w:sz w:val="20"/>
          <w:szCs w:val="20"/>
        </w:rPr>
        <w:t>completed,</w:t>
      </w:r>
      <w:r w:rsidR="00027EE4" w:rsidRPr="0072753B">
        <w:rPr>
          <w:rFonts w:asciiTheme="majorHAnsi" w:hAnsiTheme="majorHAnsi" w:cstheme="majorHAnsi"/>
          <w:sz w:val="20"/>
          <w:szCs w:val="20"/>
        </w:rPr>
        <w:t xml:space="preserve"> and Phase 4 is </w:t>
      </w:r>
      <w:r w:rsidR="0084229D" w:rsidRPr="0072753B">
        <w:rPr>
          <w:rFonts w:asciiTheme="majorHAnsi" w:hAnsiTheme="majorHAnsi" w:cstheme="majorHAnsi"/>
          <w:sz w:val="20"/>
          <w:szCs w:val="20"/>
        </w:rPr>
        <w:t>now being</w:t>
      </w:r>
      <w:r w:rsidR="00027EE4" w:rsidRPr="0072753B">
        <w:rPr>
          <w:rFonts w:asciiTheme="majorHAnsi" w:hAnsiTheme="majorHAnsi" w:cstheme="majorHAnsi"/>
          <w:sz w:val="20"/>
          <w:szCs w:val="20"/>
        </w:rPr>
        <w:t xml:space="preserve"> managed by DFAT Canberra. </w:t>
      </w:r>
    </w:p>
    <w:p w14:paraId="20923E90" w14:textId="65D4CD6D" w:rsidR="00E70215" w:rsidRPr="0072753B" w:rsidRDefault="00C118E1" w:rsidP="0072753B">
      <w:pPr>
        <w:spacing w:line="276" w:lineRule="auto"/>
        <w:jc w:val="left"/>
        <w:rPr>
          <w:rFonts w:asciiTheme="majorHAnsi" w:hAnsiTheme="majorHAnsi" w:cstheme="majorHAnsi"/>
          <w:sz w:val="20"/>
          <w:szCs w:val="20"/>
        </w:rPr>
      </w:pPr>
      <w:r w:rsidRPr="0072753B">
        <w:rPr>
          <w:rFonts w:asciiTheme="majorHAnsi" w:hAnsiTheme="majorHAnsi" w:cstheme="majorHAnsi"/>
          <w:sz w:val="20"/>
          <w:szCs w:val="20"/>
        </w:rPr>
        <w:lastRenderedPageBreak/>
        <w:t>Note: The committed funding is total grant value</w:t>
      </w:r>
      <w:r w:rsidR="004442AB" w:rsidRPr="0072753B">
        <w:rPr>
          <w:rFonts w:asciiTheme="majorHAnsi" w:hAnsiTheme="majorHAnsi" w:cstheme="majorHAnsi"/>
          <w:sz w:val="20"/>
          <w:szCs w:val="20"/>
        </w:rPr>
        <w:t xml:space="preserve">. </w:t>
      </w:r>
      <w:r w:rsidRPr="0072753B">
        <w:rPr>
          <w:rFonts w:asciiTheme="majorHAnsi" w:hAnsiTheme="majorHAnsi" w:cstheme="majorHAnsi"/>
          <w:sz w:val="20"/>
          <w:szCs w:val="20"/>
        </w:rPr>
        <w:t>The committed funding comes out of PWLES AUD32 million.</w:t>
      </w:r>
    </w:p>
    <w:p w14:paraId="29BF2B69" w14:textId="5DC21172" w:rsidR="001340ED" w:rsidRPr="0072753B" w:rsidRDefault="00412695" w:rsidP="0072753B">
      <w:pPr>
        <w:pStyle w:val="Caption"/>
        <w:rPr>
          <w:color w:val="auto"/>
          <w:sz w:val="20"/>
          <w:szCs w:val="20"/>
        </w:rPr>
      </w:pPr>
      <w:r w:rsidRPr="0072753B">
        <w:rPr>
          <w:color w:val="auto"/>
          <w:sz w:val="20"/>
          <w:szCs w:val="20"/>
        </w:rPr>
        <w:t xml:space="preserve">Table </w:t>
      </w:r>
      <w:r w:rsidR="00C65E69" w:rsidRPr="0072753B">
        <w:rPr>
          <w:color w:val="auto"/>
          <w:sz w:val="20"/>
          <w:szCs w:val="20"/>
        </w:rPr>
        <w:t>9</w:t>
      </w:r>
      <w:r w:rsidR="001340ED" w:rsidRPr="0072753B">
        <w:rPr>
          <w:color w:val="auto"/>
          <w:sz w:val="20"/>
          <w:szCs w:val="20"/>
        </w:rPr>
        <w:t>: PWLES</w:t>
      </w:r>
      <w:r w:rsidR="007D406D" w:rsidRPr="0072753B">
        <w:rPr>
          <w:color w:val="auto"/>
          <w:sz w:val="20"/>
          <w:szCs w:val="20"/>
        </w:rPr>
        <w:t xml:space="preserve"> </w:t>
      </w:r>
      <w:r w:rsidR="005902AB" w:rsidRPr="0072753B">
        <w:rPr>
          <w:color w:val="auto"/>
          <w:sz w:val="20"/>
          <w:szCs w:val="20"/>
        </w:rPr>
        <w:t xml:space="preserve">managed </w:t>
      </w:r>
      <w:r w:rsidR="004F3B5F" w:rsidRPr="0072753B">
        <w:rPr>
          <w:color w:val="auto"/>
          <w:sz w:val="20"/>
          <w:szCs w:val="20"/>
        </w:rPr>
        <w:t xml:space="preserve">grants </w:t>
      </w:r>
      <w:r w:rsidR="001340ED" w:rsidRPr="0072753B">
        <w:rPr>
          <w:color w:val="auto"/>
          <w:sz w:val="20"/>
          <w:szCs w:val="20"/>
        </w:rPr>
        <w:t xml:space="preserve">as </w:t>
      </w:r>
      <w:r w:rsidR="006B2D2C" w:rsidRPr="0072753B">
        <w:rPr>
          <w:color w:val="auto"/>
          <w:sz w:val="20"/>
          <w:szCs w:val="20"/>
        </w:rPr>
        <w:t>of</w:t>
      </w:r>
      <w:r w:rsidR="001340ED" w:rsidRPr="0072753B">
        <w:rPr>
          <w:color w:val="auto"/>
          <w:sz w:val="20"/>
          <w:szCs w:val="20"/>
        </w:rPr>
        <w:t xml:space="preserve"> 31 </w:t>
      </w:r>
      <w:r w:rsidR="006B2D2C" w:rsidRPr="0072753B">
        <w:rPr>
          <w:color w:val="auto"/>
          <w:sz w:val="20"/>
          <w:szCs w:val="20"/>
        </w:rPr>
        <w:t xml:space="preserve">August </w:t>
      </w:r>
      <w:r w:rsidR="009357B7" w:rsidRPr="0072753B">
        <w:rPr>
          <w:color w:val="auto"/>
          <w:sz w:val="20"/>
          <w:szCs w:val="20"/>
        </w:rPr>
        <w:t>2025</w:t>
      </w:r>
    </w:p>
    <w:tbl>
      <w:tblPr>
        <w:tblStyle w:val="PlainTable2"/>
        <w:tblW w:w="14596"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2939"/>
        <w:gridCol w:w="3048"/>
        <w:gridCol w:w="2278"/>
        <w:gridCol w:w="2918"/>
        <w:gridCol w:w="2345"/>
      </w:tblGrid>
      <w:tr w:rsidR="00CA6E7B" w:rsidRPr="0072753B" w14:paraId="29F7A1C4" w14:textId="637C26CE" w:rsidTr="00CA6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006699"/>
            <w:tcMar>
              <w:top w:w="85" w:type="dxa"/>
              <w:bottom w:w="85" w:type="dxa"/>
            </w:tcMar>
          </w:tcPr>
          <w:p w14:paraId="0149589F" w14:textId="77777777" w:rsidR="009357B7" w:rsidRPr="0072753B" w:rsidRDefault="009357B7" w:rsidP="0072753B">
            <w:pPr>
              <w:spacing w:line="276" w:lineRule="auto"/>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No.</w:t>
            </w:r>
          </w:p>
        </w:tc>
        <w:tc>
          <w:tcPr>
            <w:tcW w:w="0" w:type="dxa"/>
            <w:tcBorders>
              <w:bottom w:val="single" w:sz="4" w:space="0" w:color="auto"/>
            </w:tcBorders>
            <w:shd w:val="clear" w:color="auto" w:fill="006699"/>
            <w:tcMar>
              <w:top w:w="85" w:type="dxa"/>
              <w:bottom w:w="85" w:type="dxa"/>
            </w:tcMar>
          </w:tcPr>
          <w:p w14:paraId="75D97173" w14:textId="50DB1B48" w:rsidR="009357B7" w:rsidRPr="0072753B" w:rsidRDefault="009357B7"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name / Partner</w:t>
            </w:r>
          </w:p>
        </w:tc>
        <w:tc>
          <w:tcPr>
            <w:tcW w:w="0" w:type="dxa"/>
            <w:tcBorders>
              <w:bottom w:val="single" w:sz="4" w:space="0" w:color="auto"/>
            </w:tcBorders>
            <w:shd w:val="clear" w:color="auto" w:fill="006699"/>
            <w:tcMar>
              <w:top w:w="85" w:type="dxa"/>
              <w:bottom w:w="85" w:type="dxa"/>
            </w:tcMar>
          </w:tcPr>
          <w:p w14:paraId="31E230A1" w14:textId="77777777" w:rsidR="009357B7" w:rsidRPr="0072753B" w:rsidRDefault="009357B7"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Project description</w:t>
            </w:r>
          </w:p>
        </w:tc>
        <w:tc>
          <w:tcPr>
            <w:tcW w:w="0" w:type="dxa"/>
            <w:tcBorders>
              <w:bottom w:val="single" w:sz="4" w:space="0" w:color="auto"/>
            </w:tcBorders>
            <w:shd w:val="clear" w:color="auto" w:fill="006699"/>
          </w:tcPr>
          <w:p w14:paraId="7FC98D7A" w14:textId="1620A7BC" w:rsidR="009357B7" w:rsidRPr="0072753B" w:rsidRDefault="009357B7"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Countries</w:t>
            </w:r>
          </w:p>
        </w:tc>
        <w:tc>
          <w:tcPr>
            <w:tcW w:w="0" w:type="dxa"/>
            <w:tcBorders>
              <w:bottom w:val="single" w:sz="4" w:space="0" w:color="auto"/>
            </w:tcBorders>
            <w:shd w:val="clear" w:color="auto" w:fill="006699"/>
            <w:tcMar>
              <w:top w:w="85" w:type="dxa"/>
              <w:bottom w:w="85" w:type="dxa"/>
            </w:tcMar>
          </w:tcPr>
          <w:p w14:paraId="4D706C6D" w14:textId="767EF6A8" w:rsidR="009357B7" w:rsidRPr="0072753B" w:rsidRDefault="009357B7"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72753B">
              <w:rPr>
                <w:rFonts w:asciiTheme="majorHAnsi" w:hAnsiTheme="majorHAnsi" w:cstheme="majorHAnsi"/>
                <w:color w:val="FFFFFF" w:themeColor="background1"/>
                <w:sz w:val="20"/>
                <w:szCs w:val="20"/>
              </w:rPr>
              <w:t>Value (AUD) / timeframe</w:t>
            </w:r>
          </w:p>
        </w:tc>
        <w:tc>
          <w:tcPr>
            <w:tcW w:w="0" w:type="dxa"/>
            <w:tcBorders>
              <w:bottom w:val="single" w:sz="4" w:space="0" w:color="auto"/>
            </w:tcBorders>
            <w:shd w:val="clear" w:color="auto" w:fill="006699"/>
          </w:tcPr>
          <w:p w14:paraId="2CE9991C" w14:textId="4F11E264" w:rsidR="009357B7" w:rsidRPr="0072753B" w:rsidRDefault="009357B7" w:rsidP="0072753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72753B">
              <w:rPr>
                <w:rFonts w:asciiTheme="majorHAnsi" w:hAnsiTheme="majorHAnsi" w:cstheme="majorHAnsi"/>
                <w:color w:val="FFFFFF" w:themeColor="background1"/>
                <w:sz w:val="20"/>
                <w:szCs w:val="20"/>
              </w:rPr>
              <w:t>Project status</w:t>
            </w:r>
          </w:p>
        </w:tc>
      </w:tr>
      <w:tr w:rsidR="009C4CF1" w:rsidRPr="0072753B" w14:paraId="3E5199FC" w14:textId="77777777" w:rsidTr="00CA6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57DF7FFA" w14:textId="57A47017" w:rsidR="009357B7" w:rsidRPr="0072753B" w:rsidRDefault="00426FFC" w:rsidP="0072753B">
            <w:pPr>
              <w:spacing w:line="276" w:lineRule="auto"/>
              <w:rPr>
                <w:rFonts w:cstheme="minorHAnsi"/>
                <w:sz w:val="20"/>
                <w:szCs w:val="20"/>
              </w:rPr>
            </w:pPr>
            <w:r w:rsidRPr="0072753B">
              <w:rPr>
                <w:rFonts w:cstheme="minorHAnsi"/>
                <w:sz w:val="20"/>
                <w:szCs w:val="20"/>
              </w:rPr>
              <w:t>1</w:t>
            </w:r>
          </w:p>
        </w:tc>
        <w:tc>
          <w:tcPr>
            <w:tcW w:w="0" w:type="dxa"/>
            <w:tcBorders>
              <w:top w:val="single" w:sz="4" w:space="0" w:color="auto"/>
              <w:bottom w:val="single" w:sz="4" w:space="0" w:color="auto"/>
            </w:tcBorders>
            <w:tcMar>
              <w:top w:w="85" w:type="dxa"/>
              <w:bottom w:w="85" w:type="dxa"/>
            </w:tcMar>
          </w:tcPr>
          <w:p w14:paraId="343D8B90"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Balance of Power</w:t>
            </w:r>
          </w:p>
          <w:p w14:paraId="381FE2D0"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A4D14B0"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(DT Global)</w:t>
            </w:r>
          </w:p>
        </w:tc>
        <w:tc>
          <w:tcPr>
            <w:tcW w:w="0" w:type="dxa"/>
            <w:tcBorders>
              <w:top w:val="single" w:sz="4" w:space="0" w:color="auto"/>
              <w:bottom w:val="single" w:sz="4" w:space="0" w:color="auto"/>
            </w:tcBorders>
            <w:tcMar>
              <w:top w:w="85" w:type="dxa"/>
              <w:bottom w:w="85" w:type="dxa"/>
            </w:tcMar>
          </w:tcPr>
          <w:p w14:paraId="3A1F7696" w14:textId="05953134" w:rsidR="009357B7" w:rsidRPr="0072753B" w:rsidRDefault="00AC07D3" w:rsidP="0072753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2753B">
              <w:rPr>
                <w:rFonts w:asciiTheme="majorHAnsi" w:hAnsiTheme="majorHAnsi" w:cstheme="majorHAnsi"/>
                <w:sz w:val="20"/>
                <w:szCs w:val="20"/>
              </w:rPr>
              <w:t xml:space="preserve">BOP aims to initiate dialogue and action around social norms and women’s roles in decision making and leadership in the Pacific region. </w:t>
            </w:r>
            <w:r w:rsidRPr="0072753B">
              <w:rPr>
                <w:rFonts w:asciiTheme="majorHAnsi" w:hAnsiTheme="majorHAnsi" w:cstheme="majorHAnsi"/>
                <w:sz w:val="20"/>
                <w:szCs w:val="20"/>
              </w:rPr>
              <w:tab/>
            </w:r>
          </w:p>
        </w:tc>
        <w:tc>
          <w:tcPr>
            <w:tcW w:w="0" w:type="dxa"/>
            <w:tcBorders>
              <w:top w:val="single" w:sz="4" w:space="0" w:color="auto"/>
              <w:bottom w:val="single" w:sz="4" w:space="0" w:color="auto"/>
            </w:tcBorders>
          </w:tcPr>
          <w:p w14:paraId="64151961"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Tonga</w:t>
            </w:r>
          </w:p>
          <w:p w14:paraId="187B839E"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Fiji</w:t>
            </w:r>
          </w:p>
          <w:p w14:paraId="55751505"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Vanuatu</w:t>
            </w:r>
          </w:p>
        </w:tc>
        <w:tc>
          <w:tcPr>
            <w:tcW w:w="0" w:type="dxa"/>
            <w:tcBorders>
              <w:top w:val="single" w:sz="4" w:space="0" w:color="auto"/>
              <w:bottom w:val="single" w:sz="4" w:space="0" w:color="auto"/>
            </w:tcBorders>
            <w:tcMar>
              <w:top w:w="85" w:type="dxa"/>
              <w:bottom w:w="85" w:type="dxa"/>
            </w:tcMar>
          </w:tcPr>
          <w:p w14:paraId="07B44BBE" w14:textId="4E74C49C"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$11,597,674</w:t>
            </w:r>
            <w:r w:rsidR="00027EE4" w:rsidRPr="0072753B">
              <w:rPr>
                <w:rStyle w:val="FootnoteReference"/>
                <w:rFonts w:cstheme="minorHAnsi"/>
                <w:sz w:val="20"/>
                <w:szCs w:val="20"/>
              </w:rPr>
              <w:footnoteReference w:id="15"/>
            </w:r>
          </w:p>
          <w:p w14:paraId="2ACA7338" w14:textId="77777777"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3B2F1DA" w14:textId="2B22BD38"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2021</w:t>
            </w:r>
            <w:r w:rsidR="00C443AD" w:rsidRPr="0072753B">
              <w:rPr>
                <w:rFonts w:cstheme="minorHAnsi"/>
                <w:sz w:val="20"/>
                <w:szCs w:val="20"/>
              </w:rPr>
              <w:t xml:space="preserve"> </w:t>
            </w:r>
            <w:r w:rsidRPr="0072753B">
              <w:rPr>
                <w:rFonts w:cstheme="minorHAnsi"/>
                <w:sz w:val="20"/>
                <w:szCs w:val="20"/>
              </w:rPr>
              <w:t>–</w:t>
            </w:r>
            <w:r w:rsidR="00C443AD" w:rsidRPr="0072753B">
              <w:rPr>
                <w:rFonts w:cstheme="minorHAnsi"/>
                <w:sz w:val="20"/>
                <w:szCs w:val="20"/>
              </w:rPr>
              <w:t xml:space="preserve"> </w:t>
            </w:r>
            <w:r w:rsidRPr="0072753B">
              <w:rPr>
                <w:rFonts w:cstheme="minorHAnsi"/>
                <w:sz w:val="20"/>
                <w:szCs w:val="20"/>
              </w:rPr>
              <w:t>2026</w:t>
            </w:r>
          </w:p>
        </w:tc>
        <w:tc>
          <w:tcPr>
            <w:tcW w:w="0" w:type="dxa"/>
            <w:tcBorders>
              <w:top w:val="single" w:sz="4" w:space="0" w:color="auto"/>
              <w:bottom w:val="single" w:sz="4" w:space="0" w:color="auto"/>
            </w:tcBorders>
          </w:tcPr>
          <w:p w14:paraId="72F50F1C" w14:textId="5C9AF0B3" w:rsidR="009357B7" w:rsidRPr="0072753B" w:rsidRDefault="009357B7" w:rsidP="0072753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753B">
              <w:rPr>
                <w:rFonts w:cstheme="minorHAnsi"/>
                <w:sz w:val="20"/>
                <w:szCs w:val="20"/>
              </w:rPr>
              <w:t>Ongoing</w:t>
            </w:r>
          </w:p>
        </w:tc>
      </w:tr>
      <w:tr w:rsidR="009C4CF1" w:rsidRPr="0072753B" w14:paraId="173A0C63" w14:textId="6FE016DB" w:rsidTr="00CA6E7B">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1C05B4FF" w14:textId="0ECA8797" w:rsidR="009357B7" w:rsidRPr="0072753B" w:rsidRDefault="00426FFC" w:rsidP="0072753B">
            <w:pPr>
              <w:spacing w:line="276" w:lineRule="auto"/>
              <w:rPr>
                <w:rFonts w:cstheme="minorHAnsi"/>
                <w:sz w:val="20"/>
                <w:szCs w:val="20"/>
              </w:rPr>
            </w:pPr>
            <w:r w:rsidRPr="0072753B">
              <w:rPr>
                <w:rFonts w:cstheme="minorHAnsi"/>
                <w:sz w:val="20"/>
                <w:szCs w:val="20"/>
              </w:rPr>
              <w:t>2</w:t>
            </w:r>
          </w:p>
        </w:tc>
        <w:tc>
          <w:tcPr>
            <w:tcW w:w="0" w:type="dxa"/>
            <w:tcBorders>
              <w:top w:val="single" w:sz="4" w:space="0" w:color="auto"/>
            </w:tcBorders>
            <w:tcMar>
              <w:top w:w="85" w:type="dxa"/>
              <w:bottom w:w="85" w:type="dxa"/>
            </w:tcMar>
          </w:tcPr>
          <w:p w14:paraId="6BFF31DA" w14:textId="77777777" w:rsidR="00426FFC"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 xml:space="preserve">We Rise Coalition: Feminist Movement for transformative change Phase 3 </w:t>
            </w:r>
          </w:p>
          <w:p w14:paraId="7800864C" w14:textId="77777777" w:rsidR="00426FFC"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FD577B" w14:textId="76FA3642" w:rsidR="009357B7"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International Women’s Development Agency (managed by DT Global)</w:t>
            </w:r>
            <w:r w:rsidRPr="0072753B">
              <w:rPr>
                <w:rFonts w:cstheme="minorHAnsi"/>
                <w:sz w:val="20"/>
                <w:szCs w:val="20"/>
              </w:rPr>
              <w:tab/>
            </w:r>
          </w:p>
        </w:tc>
        <w:tc>
          <w:tcPr>
            <w:tcW w:w="0" w:type="dxa"/>
            <w:tcBorders>
              <w:top w:val="single" w:sz="4" w:space="0" w:color="auto"/>
            </w:tcBorders>
            <w:tcMar>
              <w:top w:w="85" w:type="dxa"/>
              <w:bottom w:w="85" w:type="dxa"/>
            </w:tcMar>
          </w:tcPr>
          <w:p w14:paraId="4E1A4C09" w14:textId="373EB1FD" w:rsidR="00426FFC"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We Rise Coalition Phase 3 focuses on developing, demonstrating, and strengthening feminist coalitions and partnerships to promote inclusive governance, equality, diversity, justice, and women’s human rights.</w:t>
            </w:r>
            <w:r w:rsidRPr="0072753B">
              <w:rPr>
                <w:rFonts w:cstheme="minorHAnsi"/>
                <w:sz w:val="20"/>
                <w:szCs w:val="20"/>
              </w:rPr>
              <w:tab/>
              <w:t xml:space="preserve"> </w:t>
            </w:r>
          </w:p>
          <w:p w14:paraId="0F11D00B" w14:textId="5C48E72C" w:rsidR="009357B7"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Tonga</w:t>
            </w:r>
            <w:r w:rsidRPr="0072753B">
              <w:rPr>
                <w:rFonts w:cstheme="minorHAnsi"/>
                <w:sz w:val="20"/>
                <w:szCs w:val="20"/>
              </w:rPr>
              <w:tab/>
            </w:r>
          </w:p>
        </w:tc>
        <w:tc>
          <w:tcPr>
            <w:tcW w:w="0" w:type="dxa"/>
            <w:tcBorders>
              <w:top w:val="single" w:sz="4" w:space="0" w:color="auto"/>
            </w:tcBorders>
          </w:tcPr>
          <w:p w14:paraId="0C4033A2" w14:textId="77777777"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 xml:space="preserve">Fiji </w:t>
            </w:r>
          </w:p>
          <w:p w14:paraId="160990EA" w14:textId="77777777"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PNG</w:t>
            </w:r>
          </w:p>
          <w:p w14:paraId="08092A4B" w14:textId="77777777"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Samoa</w:t>
            </w:r>
          </w:p>
          <w:p w14:paraId="2C0082A3" w14:textId="77777777"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Vanuatu</w:t>
            </w:r>
          </w:p>
          <w:p w14:paraId="68D2F5CA" w14:textId="11714C3A" w:rsidR="00507251" w:rsidRPr="0072753B" w:rsidRDefault="00507251"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Tonga</w:t>
            </w:r>
          </w:p>
        </w:tc>
        <w:tc>
          <w:tcPr>
            <w:tcW w:w="0" w:type="dxa"/>
            <w:tcBorders>
              <w:top w:val="single" w:sz="4" w:space="0" w:color="auto"/>
            </w:tcBorders>
            <w:tcMar>
              <w:top w:w="85" w:type="dxa"/>
              <w:bottom w:w="85" w:type="dxa"/>
            </w:tcMar>
          </w:tcPr>
          <w:p w14:paraId="700C4CBD" w14:textId="21B800E0" w:rsidR="007019B9" w:rsidRPr="0072753B" w:rsidRDefault="007019B9"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 xml:space="preserve"> </w:t>
            </w:r>
          </w:p>
          <w:p w14:paraId="6C8894CF" w14:textId="1A151992" w:rsidR="00426FFC" w:rsidRPr="0072753B" w:rsidRDefault="007019B9"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$3,240,024</w:t>
            </w:r>
            <w:r w:rsidR="00426FFC" w:rsidRPr="0072753B">
              <w:rPr>
                <w:rFonts w:cstheme="minorHAnsi"/>
                <w:sz w:val="20"/>
                <w:szCs w:val="20"/>
              </w:rPr>
              <w:t xml:space="preserve"> </w:t>
            </w:r>
            <w:r w:rsidR="005902AB" w:rsidRPr="0072753B">
              <w:rPr>
                <w:rStyle w:val="FootnoteReference"/>
                <w:rFonts w:cstheme="minorHAnsi"/>
                <w:sz w:val="20"/>
                <w:szCs w:val="20"/>
              </w:rPr>
              <w:footnoteReference w:id="16"/>
            </w:r>
          </w:p>
          <w:p w14:paraId="61946728" w14:textId="585EBC52" w:rsidR="007019B9" w:rsidRPr="0072753B" w:rsidRDefault="007019B9"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 xml:space="preserve"> </w:t>
            </w:r>
          </w:p>
          <w:p w14:paraId="470DACC1" w14:textId="7169DAA1" w:rsidR="009357B7" w:rsidRPr="0072753B" w:rsidRDefault="00426FFC"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2022 –</w:t>
            </w:r>
            <w:r w:rsidR="003C369C" w:rsidRPr="0072753B">
              <w:rPr>
                <w:rFonts w:cstheme="minorHAnsi"/>
                <w:sz w:val="20"/>
                <w:szCs w:val="20"/>
              </w:rPr>
              <w:t xml:space="preserve"> 2025</w:t>
            </w:r>
            <w:r w:rsidRPr="0072753B">
              <w:rPr>
                <w:rFonts w:cstheme="minorHAnsi"/>
                <w:sz w:val="20"/>
                <w:szCs w:val="20"/>
              </w:rPr>
              <w:t xml:space="preserve"> </w:t>
            </w:r>
          </w:p>
          <w:p w14:paraId="1137E880" w14:textId="0FFFB17D"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tcBorders>
          </w:tcPr>
          <w:p w14:paraId="02D9D1B7" w14:textId="7A2DB709" w:rsidR="009357B7" w:rsidRPr="0072753B" w:rsidRDefault="009357B7" w:rsidP="0072753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753B">
              <w:rPr>
                <w:rFonts w:cstheme="minorHAnsi"/>
                <w:sz w:val="20"/>
                <w:szCs w:val="20"/>
              </w:rPr>
              <w:t>Completed</w:t>
            </w:r>
          </w:p>
        </w:tc>
      </w:tr>
    </w:tbl>
    <w:p w14:paraId="640F3594" w14:textId="77777777" w:rsidR="00023396" w:rsidRPr="0072753B" w:rsidRDefault="00023396" w:rsidP="0072753B">
      <w:pPr>
        <w:pStyle w:val="Heading1"/>
      </w:pPr>
      <w:bookmarkStart w:id="36" w:name="_Toc192603203"/>
      <w:bookmarkStart w:id="37" w:name="_Toc207912575"/>
      <w:bookmarkStart w:id="38" w:name="_Toc208777790"/>
      <w:r w:rsidRPr="0072753B">
        <w:t>More information and support</w:t>
      </w:r>
      <w:bookmarkEnd w:id="36"/>
      <w:bookmarkEnd w:id="37"/>
      <w:bookmarkEnd w:id="38"/>
    </w:p>
    <w:p w14:paraId="4BBF745A" w14:textId="68481B47" w:rsidR="004208F1"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This country brief was prepared by Pacific Women Lead Enabling Services (PWLES). PWLES provides support for DFAT Posts and</w:t>
      </w:r>
      <w:r w:rsidR="00396791" w:rsidRPr="0072753B">
        <w:rPr>
          <w:rFonts w:asciiTheme="majorHAnsi" w:hAnsiTheme="majorHAnsi" w:cstheme="majorHAnsi"/>
          <w:szCs w:val="20"/>
        </w:rPr>
        <w:t xml:space="preserve"> </w:t>
      </w:r>
      <w:r w:rsidRPr="0072753B">
        <w:rPr>
          <w:rFonts w:asciiTheme="majorHAnsi" w:hAnsiTheme="majorHAnsi" w:cstheme="majorHAnsi"/>
          <w:szCs w:val="20"/>
        </w:rPr>
        <w:t>SPC in the following ways.</w:t>
      </w:r>
      <w:bookmarkStart w:id="39" w:name="_Toc192603204"/>
    </w:p>
    <w:p w14:paraId="00E4BDDF" w14:textId="187E98FA" w:rsidR="00023396" w:rsidRPr="0072753B" w:rsidRDefault="00023396" w:rsidP="0072753B">
      <w:pPr>
        <w:pStyle w:val="Heading2"/>
        <w:ind w:left="851"/>
      </w:pPr>
      <w:bookmarkStart w:id="40" w:name="_Toc207912576"/>
      <w:bookmarkStart w:id="41" w:name="_Toc208777791"/>
      <w:r w:rsidRPr="0072753B">
        <w:t>Monitoring, evaluation and learning support</w:t>
      </w:r>
      <w:bookmarkEnd w:id="39"/>
      <w:bookmarkEnd w:id="40"/>
      <w:bookmarkEnd w:id="41"/>
    </w:p>
    <w:p w14:paraId="6254B8E0" w14:textId="77777777"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PWLES manages the PWL portfolio MEL system. The MEL system has two databases:</w:t>
      </w:r>
    </w:p>
    <w:p w14:paraId="6745514D" w14:textId="0EECEDDE" w:rsidR="00023396" w:rsidRPr="0072753B" w:rsidRDefault="00023396" w:rsidP="0072753B">
      <w:pPr>
        <w:pStyle w:val="BodyText"/>
        <w:numPr>
          <w:ilvl w:val="0"/>
          <w:numId w:val="6"/>
        </w:numPr>
        <w:rPr>
          <w:rFonts w:asciiTheme="majorHAnsi" w:hAnsiTheme="majorHAnsi" w:cstheme="majorHAnsi"/>
          <w:b/>
          <w:bCs/>
          <w:szCs w:val="20"/>
        </w:rPr>
      </w:pPr>
      <w:r w:rsidRPr="0072753B">
        <w:rPr>
          <w:rFonts w:asciiTheme="majorHAnsi" w:hAnsiTheme="majorHAnsi" w:cstheme="majorHAnsi"/>
          <w:szCs w:val="20"/>
        </w:rPr>
        <w:lastRenderedPageBreak/>
        <w:t>A</w:t>
      </w:r>
      <w:r w:rsidRPr="0072753B">
        <w:rPr>
          <w:rFonts w:asciiTheme="majorHAnsi" w:hAnsiTheme="majorHAnsi" w:cstheme="majorHAnsi"/>
          <w:b/>
          <w:bCs/>
          <w:szCs w:val="20"/>
        </w:rPr>
        <w:t xml:space="preserve"> Quantitative database</w:t>
      </w:r>
      <w:r w:rsidRPr="0072753B">
        <w:rPr>
          <w:rFonts w:asciiTheme="majorHAnsi" w:hAnsiTheme="majorHAnsi" w:cstheme="majorHAnsi"/>
          <w:szCs w:val="20"/>
        </w:rPr>
        <w:t xml:space="preserve"> that tracks progress against PWL indicators and can be accessed through a dashboard on the PWL website: </w:t>
      </w:r>
      <w:hyperlink r:id="rId18" w:history="1">
        <w:r w:rsidRPr="0072753B">
          <w:rPr>
            <w:rStyle w:val="Hyperlink"/>
            <w:rFonts w:asciiTheme="majorHAnsi" w:hAnsiTheme="majorHAnsi" w:cstheme="majorHAnsi"/>
            <w:szCs w:val="20"/>
          </w:rPr>
          <w:t>Pacific Women Lead - Our Impact</w:t>
        </w:r>
      </w:hyperlink>
      <w:r w:rsidRPr="0072753B">
        <w:rPr>
          <w:rFonts w:asciiTheme="majorHAnsi" w:hAnsiTheme="majorHAnsi" w:cstheme="majorHAnsi"/>
          <w:szCs w:val="20"/>
        </w:rPr>
        <w:t>. The dashboard is updated six monthly after each reporting cycle.</w:t>
      </w:r>
    </w:p>
    <w:p w14:paraId="694CD9CD" w14:textId="77777777" w:rsidR="00023396" w:rsidRPr="0072753B" w:rsidRDefault="00023396" w:rsidP="0072753B">
      <w:pPr>
        <w:pStyle w:val="BodyText"/>
        <w:numPr>
          <w:ilvl w:val="0"/>
          <w:numId w:val="6"/>
        </w:numPr>
        <w:rPr>
          <w:rFonts w:asciiTheme="majorHAnsi" w:hAnsiTheme="majorHAnsi" w:cstheme="majorHAnsi"/>
          <w:szCs w:val="20"/>
        </w:rPr>
      </w:pPr>
      <w:r w:rsidRPr="0072753B">
        <w:rPr>
          <w:rFonts w:asciiTheme="majorHAnsi" w:hAnsiTheme="majorHAnsi" w:cstheme="majorHAnsi"/>
          <w:szCs w:val="20"/>
        </w:rPr>
        <w:t>A</w:t>
      </w:r>
      <w:r w:rsidRPr="0072753B">
        <w:rPr>
          <w:rFonts w:asciiTheme="majorHAnsi" w:hAnsiTheme="majorHAnsi" w:cstheme="majorHAnsi"/>
          <w:b/>
          <w:bCs/>
          <w:szCs w:val="20"/>
        </w:rPr>
        <w:t xml:space="preserve"> Qualitative database</w:t>
      </w:r>
      <w:r w:rsidRPr="0072753B">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442663B4" w:rsidR="00023396" w:rsidRPr="0072753B" w:rsidRDefault="00023396" w:rsidP="0072753B">
      <w:pPr>
        <w:pStyle w:val="BodyText"/>
        <w:rPr>
          <w:rFonts w:asciiTheme="majorHAnsi" w:hAnsiTheme="majorHAnsi" w:cstheme="majorHAnsi"/>
          <w:b/>
          <w:bCs/>
          <w:szCs w:val="20"/>
        </w:rPr>
      </w:pPr>
      <w:r w:rsidRPr="0072753B">
        <w:rPr>
          <w:rFonts w:asciiTheme="majorHAnsi" w:hAnsiTheme="majorHAnsi" w:cstheme="majorHAnsi"/>
          <w:b/>
          <w:bCs/>
          <w:szCs w:val="20"/>
        </w:rPr>
        <w:t xml:space="preserve">Collection of qualitative impact stories: </w:t>
      </w:r>
      <w:r w:rsidRPr="0072753B">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19" w:history="1">
        <w:r w:rsidRPr="0072753B">
          <w:rPr>
            <w:rStyle w:val="Hyperlink"/>
            <w:rFonts w:asciiTheme="majorHAnsi" w:hAnsiTheme="majorHAnsi" w:cstheme="majorHAnsi"/>
            <w:szCs w:val="20"/>
          </w:rPr>
          <w:t>Pacific Women Lead - Stories</w:t>
        </w:r>
      </w:hyperlink>
    </w:p>
    <w:p w14:paraId="4F0567FE" w14:textId="11F4A3DC"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b/>
          <w:bCs/>
          <w:szCs w:val="20"/>
        </w:rPr>
        <w:t xml:space="preserve">Monitoring the rights of people with disabilities Framework: </w:t>
      </w:r>
      <w:r w:rsidRPr="0072753B">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0" w:history="1">
        <w:r w:rsidRPr="0072753B">
          <w:rPr>
            <w:rStyle w:val="Hyperlink"/>
            <w:rFonts w:asciiTheme="majorHAnsi" w:hAnsiTheme="majorHAnsi" w:cstheme="majorHAnsi"/>
            <w:szCs w:val="20"/>
          </w:rPr>
          <w:t>Pacific Women Lead - Resources</w:t>
        </w:r>
      </w:hyperlink>
      <w:r w:rsidRPr="0072753B">
        <w:rPr>
          <w:rFonts w:asciiTheme="majorHAnsi" w:hAnsiTheme="majorHAnsi" w:cstheme="majorHAnsi"/>
          <w:szCs w:val="20"/>
        </w:rPr>
        <w:t xml:space="preserve">. PWLES has also facilitated a webinar discussion on these guidance notes which you can watch here: </w:t>
      </w:r>
      <w:hyperlink r:id="rId21" w:history="1">
        <w:r w:rsidRPr="0072753B">
          <w:rPr>
            <w:rStyle w:val="Hyperlink"/>
            <w:rFonts w:asciiTheme="majorHAnsi" w:hAnsiTheme="majorHAnsi" w:cstheme="majorHAnsi"/>
            <w:szCs w:val="20"/>
          </w:rPr>
          <w:t>Monitoring the journey towards the realisation of rights for people with disabilities</w:t>
        </w:r>
      </w:hyperlink>
      <w:r w:rsidRPr="0072753B">
        <w:rPr>
          <w:rFonts w:asciiTheme="majorHAnsi" w:hAnsiTheme="majorHAnsi" w:cstheme="majorHAnsi"/>
          <w:szCs w:val="20"/>
        </w:rPr>
        <w:t>.</w:t>
      </w:r>
    </w:p>
    <w:p w14:paraId="1D736CCB" w14:textId="185FE81D"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b/>
          <w:bCs/>
          <w:szCs w:val="20"/>
        </w:rPr>
        <w:t xml:space="preserve">Annual Reflection and Analysis Workshop: </w:t>
      </w:r>
      <w:r w:rsidRPr="0072753B">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2" w:history="1">
        <w:r w:rsidRPr="0072753B">
          <w:rPr>
            <w:rStyle w:val="Hyperlink"/>
            <w:rFonts w:asciiTheme="majorHAnsi" w:hAnsiTheme="majorHAnsi" w:cstheme="majorHAnsi"/>
            <w:szCs w:val="20"/>
          </w:rPr>
          <w:t>Second Pacific Women Lead Annual Reflection and Analysis Workshop (2024)</w:t>
        </w:r>
      </w:hyperlink>
      <w:r w:rsidRPr="0072753B">
        <w:rPr>
          <w:rFonts w:asciiTheme="majorHAnsi" w:hAnsiTheme="majorHAnsi" w:cstheme="majorHAnsi"/>
          <w:szCs w:val="20"/>
        </w:rPr>
        <w:t>.</w:t>
      </w:r>
    </w:p>
    <w:p w14:paraId="70216256" w14:textId="77777777"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b/>
          <w:bCs/>
          <w:szCs w:val="20"/>
        </w:rPr>
        <w:t>Clear Horizon Academy PWL MEL Platform:</w:t>
      </w:r>
      <w:r w:rsidRPr="0072753B">
        <w:rPr>
          <w:rFonts w:asciiTheme="majorHAnsi" w:hAnsiTheme="majorHAnsi" w:cstheme="majorHAnsi"/>
          <w:szCs w:val="20"/>
        </w:rPr>
        <w:t xml:space="preserve"> PWLES has developed 3 training modules with Clear Horizon Academy to support PWL partners: </w:t>
      </w:r>
    </w:p>
    <w:p w14:paraId="4BC67F18" w14:textId="77777777" w:rsidR="00023396" w:rsidRPr="0072753B" w:rsidRDefault="00023396" w:rsidP="0072753B">
      <w:pPr>
        <w:pStyle w:val="BodyText"/>
        <w:numPr>
          <w:ilvl w:val="0"/>
          <w:numId w:val="18"/>
        </w:numPr>
        <w:spacing w:after="200"/>
        <w:rPr>
          <w:rFonts w:asciiTheme="majorHAnsi" w:hAnsiTheme="majorHAnsi" w:cstheme="majorHAnsi"/>
          <w:szCs w:val="20"/>
        </w:rPr>
      </w:pPr>
      <w:r w:rsidRPr="0072753B">
        <w:rPr>
          <w:rFonts w:asciiTheme="majorHAnsi" w:hAnsiTheme="majorHAnsi" w:cstheme="majorHAnsi"/>
          <w:szCs w:val="20"/>
        </w:rPr>
        <w:t xml:space="preserve">Using data for reporting and learning, </w:t>
      </w:r>
    </w:p>
    <w:p w14:paraId="19068D52" w14:textId="77777777" w:rsidR="00023396" w:rsidRPr="0072753B" w:rsidRDefault="00023396" w:rsidP="0072753B">
      <w:pPr>
        <w:pStyle w:val="BodyText"/>
        <w:numPr>
          <w:ilvl w:val="0"/>
          <w:numId w:val="18"/>
        </w:numPr>
        <w:spacing w:after="200"/>
        <w:rPr>
          <w:rFonts w:asciiTheme="majorHAnsi" w:hAnsiTheme="majorHAnsi" w:cstheme="majorHAnsi"/>
          <w:szCs w:val="20"/>
        </w:rPr>
      </w:pPr>
      <w:r w:rsidRPr="0072753B">
        <w:rPr>
          <w:rFonts w:asciiTheme="majorHAnsi" w:hAnsiTheme="majorHAnsi" w:cstheme="majorHAnsi"/>
          <w:szCs w:val="20"/>
        </w:rPr>
        <w:t xml:space="preserve">collecting impact stories </w:t>
      </w:r>
    </w:p>
    <w:p w14:paraId="2B682ED9" w14:textId="77777777" w:rsidR="00023396" w:rsidRPr="0072753B" w:rsidRDefault="00023396" w:rsidP="0072753B">
      <w:pPr>
        <w:pStyle w:val="BodyText"/>
        <w:numPr>
          <w:ilvl w:val="0"/>
          <w:numId w:val="18"/>
        </w:numPr>
        <w:spacing w:after="200"/>
        <w:rPr>
          <w:rFonts w:asciiTheme="majorHAnsi" w:hAnsiTheme="majorHAnsi" w:cstheme="majorHAnsi"/>
          <w:szCs w:val="20"/>
        </w:rPr>
      </w:pPr>
      <w:r w:rsidRPr="0072753B">
        <w:rPr>
          <w:rFonts w:asciiTheme="majorHAnsi" w:hAnsiTheme="majorHAnsi" w:cstheme="majorHAnsi"/>
          <w:szCs w:val="20"/>
        </w:rPr>
        <w:t xml:space="preserve">understanding, monitoring and reporting disability inclusion. </w:t>
      </w:r>
    </w:p>
    <w:p w14:paraId="60BDAC92" w14:textId="77777777" w:rsidR="004208F1"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 xml:space="preserve">These are online and self-paced modules and partners can seek access through the PWLES.  </w:t>
      </w:r>
      <w:bookmarkStart w:id="42" w:name="_Toc192603205"/>
    </w:p>
    <w:p w14:paraId="06386918" w14:textId="4B85A2A7" w:rsidR="00023396" w:rsidRPr="0072753B" w:rsidRDefault="00023396" w:rsidP="0072753B">
      <w:pPr>
        <w:pStyle w:val="Heading2"/>
        <w:ind w:left="851"/>
      </w:pPr>
      <w:bookmarkStart w:id="43" w:name="_Toc207912577"/>
      <w:bookmarkStart w:id="44" w:name="_Toc208777792"/>
      <w:r w:rsidRPr="0072753B">
        <w:t>Quality Technical Assurance Group (QTAG)</w:t>
      </w:r>
      <w:bookmarkEnd w:id="42"/>
      <w:bookmarkEnd w:id="43"/>
      <w:bookmarkEnd w:id="44"/>
    </w:p>
    <w:p w14:paraId="7F868497" w14:textId="03A43877" w:rsidR="004208F1"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45" w:name="_Toc192603206"/>
      <w:r w:rsidR="004208F1" w:rsidRPr="0072753B">
        <w:rPr>
          <w:rFonts w:asciiTheme="majorHAnsi" w:hAnsiTheme="majorHAnsi" w:cstheme="majorHAnsi"/>
          <w:szCs w:val="20"/>
        </w:rPr>
        <w:t>.</w:t>
      </w:r>
    </w:p>
    <w:p w14:paraId="388AAEAF" w14:textId="45203463" w:rsidR="00023396" w:rsidRPr="0072753B" w:rsidRDefault="00023396" w:rsidP="0072753B">
      <w:pPr>
        <w:pStyle w:val="Heading2"/>
        <w:ind w:left="851"/>
      </w:pPr>
      <w:bookmarkStart w:id="46" w:name="_Toc207912578"/>
      <w:bookmarkStart w:id="47" w:name="_Toc208777793"/>
      <w:r w:rsidRPr="0072753B">
        <w:lastRenderedPageBreak/>
        <w:t>Grant management</w:t>
      </w:r>
      <w:bookmarkEnd w:id="45"/>
      <w:bookmarkEnd w:id="46"/>
      <w:bookmarkEnd w:id="47"/>
      <w:r w:rsidRPr="0072753B">
        <w:t xml:space="preserve"> </w:t>
      </w:r>
    </w:p>
    <w:p w14:paraId="3B5C4239" w14:textId="77777777" w:rsidR="00023396" w:rsidRPr="0072753B" w:rsidRDefault="00023396" w:rsidP="0072753B">
      <w:pPr>
        <w:pStyle w:val="BodyText"/>
        <w:rPr>
          <w:rFonts w:asciiTheme="majorHAnsi" w:hAnsiTheme="majorHAnsi" w:cstheme="majorHAnsi"/>
          <w:szCs w:val="20"/>
        </w:rPr>
      </w:pPr>
      <w:r w:rsidRPr="0072753B">
        <w:rPr>
          <w:rFonts w:asciiTheme="majorHAnsi" w:hAnsiTheme="majorHAnsi" w:cstheme="majorHAnsi"/>
          <w:szCs w:val="20"/>
        </w:rPr>
        <w:t>PWLES provides program management support to DFAT Posts in smaller countries. Currently, PWLES provides grant management support to:</w:t>
      </w:r>
    </w:p>
    <w:p w14:paraId="5D654598" w14:textId="77777777" w:rsidR="00023396" w:rsidRPr="0072753B" w:rsidRDefault="00023396" w:rsidP="0072753B">
      <w:pPr>
        <w:pStyle w:val="BodyText"/>
        <w:numPr>
          <w:ilvl w:val="0"/>
          <w:numId w:val="19"/>
        </w:numPr>
        <w:rPr>
          <w:rFonts w:asciiTheme="majorHAnsi" w:hAnsiTheme="majorHAnsi" w:cstheme="majorHAnsi"/>
          <w:szCs w:val="20"/>
        </w:rPr>
      </w:pPr>
      <w:r w:rsidRPr="0072753B">
        <w:rPr>
          <w:rFonts w:asciiTheme="majorHAnsi" w:hAnsiTheme="majorHAnsi" w:cstheme="majorHAnsi"/>
          <w:szCs w:val="20"/>
        </w:rPr>
        <w:t xml:space="preserve">Two regional programs: Balance of Power and We Rise Coalition Phase 3, </w:t>
      </w:r>
    </w:p>
    <w:p w14:paraId="112BBD9A" w14:textId="77777777" w:rsidR="00023396" w:rsidRPr="0072753B" w:rsidRDefault="00023396" w:rsidP="0072753B">
      <w:pPr>
        <w:pStyle w:val="BodyText"/>
        <w:numPr>
          <w:ilvl w:val="0"/>
          <w:numId w:val="19"/>
        </w:numPr>
        <w:rPr>
          <w:rFonts w:asciiTheme="majorHAnsi" w:hAnsiTheme="majorHAnsi" w:cstheme="majorHAnsi"/>
          <w:szCs w:val="20"/>
        </w:rPr>
      </w:pPr>
      <w:r w:rsidRPr="0072753B">
        <w:rPr>
          <w:rFonts w:asciiTheme="majorHAnsi" w:hAnsiTheme="majorHAnsi" w:cstheme="majorHAnsi"/>
          <w:szCs w:val="20"/>
        </w:rPr>
        <w:t xml:space="preserve">Three projects in Tuvalu (funded through the Tuvalu DFAT Post Gender Country Plan), and </w:t>
      </w:r>
    </w:p>
    <w:p w14:paraId="46D97082" w14:textId="77777777" w:rsidR="00EE5F9A" w:rsidRPr="0072753B" w:rsidRDefault="00023396" w:rsidP="0072753B">
      <w:pPr>
        <w:pStyle w:val="BodyText"/>
        <w:numPr>
          <w:ilvl w:val="0"/>
          <w:numId w:val="19"/>
        </w:numPr>
        <w:rPr>
          <w:rFonts w:asciiTheme="majorHAnsi" w:hAnsiTheme="majorHAnsi" w:cstheme="majorHAnsi"/>
          <w:szCs w:val="20"/>
        </w:rPr>
      </w:pPr>
      <w:r w:rsidRPr="0072753B">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8" w:name="_Toc192603207"/>
    </w:p>
    <w:p w14:paraId="0E2520D1" w14:textId="1B4F28B5" w:rsidR="00023396" w:rsidRPr="0072753B" w:rsidRDefault="00023396" w:rsidP="0072753B">
      <w:pPr>
        <w:pStyle w:val="Heading2"/>
        <w:ind w:left="851"/>
      </w:pPr>
      <w:bookmarkStart w:id="49" w:name="_Toc207912579"/>
      <w:bookmarkStart w:id="50" w:name="_Toc208777794"/>
      <w:r w:rsidRPr="0072753B">
        <w:t>Contact and feedback</w:t>
      </w:r>
      <w:bookmarkEnd w:id="48"/>
      <w:bookmarkEnd w:id="49"/>
      <w:bookmarkEnd w:id="50"/>
    </w:p>
    <w:p w14:paraId="4168AD1F" w14:textId="72D9358C" w:rsidR="00023396" w:rsidRPr="00023396" w:rsidRDefault="00023396" w:rsidP="0072753B">
      <w:pPr>
        <w:pStyle w:val="BodyText"/>
        <w:rPr>
          <w:rFonts w:asciiTheme="majorHAnsi" w:hAnsiTheme="majorHAnsi" w:cstheme="majorHAnsi"/>
          <w:szCs w:val="20"/>
        </w:rPr>
      </w:pPr>
      <w:r w:rsidRPr="0072753B">
        <w:rPr>
          <w:rFonts w:asciiTheme="majorHAnsi" w:hAnsiTheme="majorHAnsi" w:cstheme="majorHAnsi"/>
          <w:szCs w:val="20"/>
        </w:rPr>
        <w:t>If you have questions or feedback on this brief, please contact</w:t>
      </w:r>
      <w:r w:rsidR="00FA0479" w:rsidRPr="0072753B">
        <w:rPr>
          <w:rFonts w:asciiTheme="majorHAnsi" w:hAnsiTheme="majorHAnsi" w:cstheme="majorHAnsi"/>
          <w:szCs w:val="20"/>
        </w:rPr>
        <w:t xml:space="preserve"> PWLES on</w:t>
      </w:r>
      <w:r w:rsidRPr="0072753B">
        <w:rPr>
          <w:rFonts w:asciiTheme="majorHAnsi" w:hAnsiTheme="majorHAnsi" w:cstheme="majorHAnsi"/>
          <w:szCs w:val="20"/>
        </w:rPr>
        <w:t xml:space="preserve"> </w:t>
      </w:r>
      <w:bookmarkEnd w:id="10"/>
      <w:r w:rsidR="00D43E2A" w:rsidRPr="0072753B">
        <w:rPr>
          <w:rFonts w:asciiTheme="majorHAnsi" w:hAnsiTheme="majorHAnsi" w:cstheme="majorHAnsi"/>
          <w:szCs w:val="20"/>
        </w:rPr>
        <w:fldChar w:fldCharType="begin"/>
      </w:r>
      <w:r w:rsidR="00D43E2A" w:rsidRPr="0072753B">
        <w:rPr>
          <w:rFonts w:asciiTheme="majorHAnsi" w:hAnsiTheme="majorHAnsi" w:cstheme="majorHAnsi"/>
          <w:szCs w:val="20"/>
        </w:rPr>
        <w:instrText>HYPERLINK "mailto:info@pwles.org"</w:instrText>
      </w:r>
      <w:r w:rsidR="00D43E2A" w:rsidRPr="0072753B">
        <w:rPr>
          <w:rFonts w:asciiTheme="majorHAnsi" w:hAnsiTheme="majorHAnsi" w:cstheme="majorHAnsi"/>
          <w:szCs w:val="20"/>
        </w:rPr>
      </w:r>
      <w:r w:rsidR="00D43E2A" w:rsidRPr="0072753B">
        <w:rPr>
          <w:rFonts w:asciiTheme="majorHAnsi" w:hAnsiTheme="majorHAnsi" w:cstheme="majorHAnsi"/>
          <w:szCs w:val="20"/>
        </w:rPr>
        <w:fldChar w:fldCharType="separate"/>
      </w:r>
      <w:r w:rsidR="00D43E2A" w:rsidRPr="0072753B">
        <w:rPr>
          <w:rStyle w:val="Hyperlink"/>
          <w:rFonts w:asciiTheme="majorHAnsi" w:hAnsiTheme="majorHAnsi" w:cstheme="majorHAnsi"/>
          <w:szCs w:val="20"/>
        </w:rPr>
        <w:t>info@pwles.org</w:t>
      </w:r>
      <w:r w:rsidR="00D43E2A" w:rsidRPr="0072753B">
        <w:rPr>
          <w:rFonts w:asciiTheme="majorHAnsi" w:hAnsiTheme="majorHAnsi" w:cstheme="majorHAnsi"/>
          <w:szCs w:val="20"/>
        </w:rPr>
        <w:fldChar w:fldCharType="end"/>
      </w:r>
      <w:r w:rsidR="00D43E2A" w:rsidRPr="0072753B">
        <w:rPr>
          <w:rFonts w:asciiTheme="majorHAnsi" w:hAnsiTheme="majorHAnsi" w:cstheme="majorHAnsi"/>
          <w:szCs w:val="20"/>
        </w:rPr>
        <w:t xml:space="preserve">. </w:t>
      </w:r>
    </w:p>
    <w:sectPr w:rsidR="00023396" w:rsidRPr="00023396" w:rsidSect="001E36AD">
      <w:headerReference w:type="default" r:id="rId23"/>
      <w:footerReference w:type="default" r:id="rId24"/>
      <w:pgSz w:w="16840" w:h="11906" w:orient="landscape" w:code="9"/>
      <w:pgMar w:top="1440" w:right="1440" w:bottom="1440" w:left="1440" w:header="56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EDD9" w14:textId="77777777" w:rsidR="008B6F94" w:rsidRPr="0072753B" w:rsidRDefault="008B6F94" w:rsidP="00FF0858">
      <w:pPr>
        <w:spacing w:after="0"/>
      </w:pPr>
      <w:r w:rsidRPr="0072753B">
        <w:separator/>
      </w:r>
    </w:p>
  </w:endnote>
  <w:endnote w:type="continuationSeparator" w:id="0">
    <w:p w14:paraId="514AE8C5" w14:textId="77777777" w:rsidR="008B6F94" w:rsidRPr="0072753B" w:rsidRDefault="008B6F94" w:rsidP="00FF0858">
      <w:pPr>
        <w:spacing w:after="0"/>
      </w:pPr>
      <w:r w:rsidRPr="0072753B">
        <w:continuationSeparator/>
      </w:r>
    </w:p>
  </w:endnote>
  <w:endnote w:type="continuationNotice" w:id="1">
    <w:p w14:paraId="7D488BBA" w14:textId="77777777" w:rsidR="008B6F94" w:rsidRPr="0072753B" w:rsidRDefault="008B6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72753B" w:rsidRDefault="009A6D92" w:rsidP="00EB533D">
    <w:pPr>
      <w:pStyle w:val="tablebullet"/>
    </w:pPr>
    <w:r w:rsidRPr="0072753B">
      <w:fldChar w:fldCharType="begin"/>
    </w:r>
    <w:r w:rsidRPr="0072753B">
      <w:instrText xml:space="preserve"> PAGE   \* MERGEFORMAT </w:instrText>
    </w:r>
    <w:r w:rsidRPr="0072753B">
      <w:fldChar w:fldCharType="separate"/>
    </w:r>
    <w:r w:rsidRPr="0072753B">
      <w:t>iv</w:t>
    </w:r>
    <w:r w:rsidRPr="0072753B">
      <w:fldChar w:fldCharType="end"/>
    </w:r>
    <w:r w:rsidRPr="0072753B">
      <w:ptab w:relativeTo="margin" w:alignment="right" w:leader="none"/>
    </w:r>
    <w:r w:rsidRPr="0072753B">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72753B" w:rsidRDefault="00CC0D37" w:rsidP="00CC0D37">
    <w:pPr>
      <w:pStyle w:val="Footer"/>
      <w:spacing w:after="120"/>
      <w:jc w:val="center"/>
      <w:rPr>
        <w:b/>
        <w:color w:val="0798BB" w:themeColor="accent4"/>
        <w:sz w:val="20"/>
        <w:szCs w:val="20"/>
      </w:rPr>
    </w:pPr>
    <w:r w:rsidRPr="0072753B">
      <w:rPr>
        <w:b/>
        <w:color w:val="0798BB" w:themeColor="accent4"/>
        <w:sz w:val="20"/>
        <w:szCs w:val="20"/>
      </w:rPr>
      <w:drawing>
        <wp:inline distT="0" distB="0" distL="0" distR="0" wp14:anchorId="5609AA41" wp14:editId="71EDB9EC">
          <wp:extent cx="6120130" cy="1104265"/>
          <wp:effectExtent l="0" t="0" r="0" b="635"/>
          <wp:docPr id="1745480350" name="Picture 1745480350"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0350" name="Picture 1745480350"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463F48AB" w:rsidR="0039726C" w:rsidRPr="0072753B" w:rsidRDefault="0039726C" w:rsidP="00707818">
    <w:pPr>
      <w:pStyle w:val="Footer"/>
      <w:jc w:val="left"/>
    </w:pPr>
    <w:r w:rsidRPr="0072753B">
      <w:rPr>
        <w:rFonts w:ascii="Arial" w:hAnsi="Arial" w:cs="Arial"/>
        <w:color w:val="44546A" w:themeColor="text2"/>
        <w:szCs w:val="16"/>
      </w:rPr>
      <w:t>P</w:t>
    </w:r>
    <w:r w:rsidR="000A3C58" w:rsidRPr="0072753B">
      <w:rPr>
        <w:rFonts w:ascii="Arial" w:hAnsi="Arial" w:cs="Arial"/>
        <w:color w:val="44546A" w:themeColor="text2"/>
        <w:szCs w:val="16"/>
      </w:rPr>
      <w:t>acific</w:t>
    </w:r>
    <w:r w:rsidRPr="0072753B">
      <w:rPr>
        <w:rFonts w:ascii="Arial" w:hAnsi="Arial" w:cs="Arial"/>
        <w:color w:val="44546A" w:themeColor="text2"/>
        <w:szCs w:val="16"/>
      </w:rPr>
      <w:t xml:space="preserve"> W</w:t>
    </w:r>
    <w:r w:rsidR="000A3C58" w:rsidRPr="0072753B">
      <w:rPr>
        <w:rFonts w:ascii="Arial" w:hAnsi="Arial" w:cs="Arial"/>
        <w:color w:val="44546A" w:themeColor="text2"/>
        <w:szCs w:val="16"/>
      </w:rPr>
      <w:t>omen</w:t>
    </w:r>
    <w:r w:rsidRPr="0072753B">
      <w:rPr>
        <w:rFonts w:ascii="Arial" w:hAnsi="Arial" w:cs="Arial"/>
        <w:color w:val="44546A" w:themeColor="text2"/>
        <w:szCs w:val="16"/>
      </w:rPr>
      <w:t xml:space="preserve"> L</w:t>
    </w:r>
    <w:r w:rsidR="000A3C58" w:rsidRPr="0072753B">
      <w:rPr>
        <w:rFonts w:ascii="Arial" w:hAnsi="Arial" w:cs="Arial"/>
        <w:color w:val="44546A" w:themeColor="text2"/>
        <w:szCs w:val="16"/>
      </w:rPr>
      <w:t>ead</w:t>
    </w:r>
    <w:r w:rsidRPr="0072753B">
      <w:rPr>
        <w:rFonts w:ascii="Arial" w:hAnsi="Arial" w:cs="Arial"/>
        <w:color w:val="44546A" w:themeColor="text2"/>
        <w:szCs w:val="16"/>
      </w:rPr>
      <w:t xml:space="preserve"> E</w:t>
    </w:r>
    <w:r w:rsidR="000A3C58" w:rsidRPr="0072753B">
      <w:rPr>
        <w:rFonts w:ascii="Arial" w:hAnsi="Arial" w:cs="Arial"/>
        <w:color w:val="44546A" w:themeColor="text2"/>
        <w:szCs w:val="16"/>
      </w:rPr>
      <w:t>nabling</w:t>
    </w:r>
    <w:r w:rsidRPr="0072753B">
      <w:rPr>
        <w:rFonts w:ascii="Arial" w:hAnsi="Arial" w:cs="Arial"/>
        <w:color w:val="44546A" w:themeColor="text2"/>
        <w:szCs w:val="16"/>
      </w:rPr>
      <w:t xml:space="preserve"> S</w:t>
    </w:r>
    <w:r w:rsidR="000A3C58" w:rsidRPr="0072753B">
      <w:rPr>
        <w:rFonts w:ascii="Arial" w:hAnsi="Arial" w:cs="Arial"/>
        <w:color w:val="44546A" w:themeColor="text2"/>
        <w:szCs w:val="16"/>
      </w:rPr>
      <w:t>ervices</w:t>
    </w:r>
    <w:r w:rsidRPr="0072753B">
      <w:rPr>
        <w:rFonts w:ascii="Arial" w:hAnsi="Arial" w:cs="Arial"/>
        <w:color w:val="44546A" w:themeColor="text2"/>
        <w:szCs w:val="16"/>
      </w:rPr>
      <w:ptab w:relativeTo="margin" w:alignment="right" w:leader="none"/>
    </w:r>
    <w:r w:rsidRPr="0072753B">
      <w:rPr>
        <w:rFonts w:ascii="Arial" w:hAnsi="Arial" w:cs="Arial"/>
        <w:color w:val="44546A" w:themeColor="text2"/>
        <w:szCs w:val="16"/>
      </w:rPr>
      <w:fldChar w:fldCharType="begin"/>
    </w:r>
    <w:r w:rsidRPr="0072753B">
      <w:rPr>
        <w:rFonts w:ascii="Arial" w:hAnsi="Arial" w:cs="Arial"/>
        <w:color w:val="44546A" w:themeColor="text2"/>
        <w:szCs w:val="16"/>
      </w:rPr>
      <w:instrText xml:space="preserve"> STYLEREF  Title  \* MERGEFORMAT </w:instrText>
    </w:r>
    <w:r w:rsidRPr="0072753B">
      <w:rPr>
        <w:rFonts w:ascii="Arial" w:hAnsi="Arial" w:cs="Arial"/>
        <w:color w:val="44546A" w:themeColor="text2"/>
        <w:szCs w:val="16"/>
      </w:rPr>
      <w:fldChar w:fldCharType="separate"/>
    </w:r>
    <w:r w:rsidR="0072753B" w:rsidRPr="0072753B">
      <w:rPr>
        <w:rFonts w:ascii="Arial" w:hAnsi="Arial" w:cs="Arial"/>
        <w:b/>
        <w:bCs/>
        <w:noProof/>
        <w:color w:val="44546A" w:themeColor="text2"/>
        <w:szCs w:val="16"/>
      </w:rPr>
      <w:t>Regional Investments Brief</w:t>
    </w:r>
    <w:r w:rsidRPr="0072753B">
      <w:rPr>
        <w:rFonts w:ascii="Arial" w:hAnsi="Arial" w:cs="Arial"/>
        <w:color w:val="44546A" w:themeColor="text2"/>
        <w:szCs w:val="16"/>
      </w:rPr>
      <w:fldChar w:fldCharType="end"/>
    </w:r>
    <w:r w:rsidRPr="0072753B">
      <w:rPr>
        <w:rFonts w:ascii="Arial" w:hAnsi="Arial" w:cs="Arial"/>
        <w:color w:val="44546A" w:themeColor="text2"/>
        <w:szCs w:val="16"/>
      </w:rPr>
      <w:t xml:space="preserve"> | </w:t>
    </w:r>
    <w:r w:rsidRPr="0072753B">
      <w:rPr>
        <w:rFonts w:ascii="Arial" w:hAnsi="Arial" w:cs="Arial"/>
        <w:color w:val="44546A" w:themeColor="text2"/>
        <w:szCs w:val="16"/>
      </w:rPr>
      <w:fldChar w:fldCharType="begin"/>
    </w:r>
    <w:r w:rsidRPr="0072753B">
      <w:rPr>
        <w:rFonts w:ascii="Arial" w:hAnsi="Arial" w:cs="Arial"/>
        <w:color w:val="44546A" w:themeColor="text2"/>
        <w:szCs w:val="16"/>
      </w:rPr>
      <w:instrText xml:space="preserve"> PAGE   \* MERGEFORMAT </w:instrText>
    </w:r>
    <w:r w:rsidRPr="0072753B">
      <w:rPr>
        <w:rFonts w:ascii="Arial" w:hAnsi="Arial" w:cs="Arial"/>
        <w:color w:val="44546A" w:themeColor="text2"/>
        <w:szCs w:val="16"/>
      </w:rPr>
      <w:fldChar w:fldCharType="separate"/>
    </w:r>
    <w:r w:rsidRPr="0072753B">
      <w:rPr>
        <w:rFonts w:ascii="Arial" w:hAnsi="Arial" w:cs="Arial"/>
        <w:color w:val="44546A" w:themeColor="text2"/>
        <w:szCs w:val="16"/>
      </w:rPr>
      <w:t>i</w:t>
    </w:r>
    <w:proofErr w:type="spellStart"/>
    <w:r w:rsidRPr="0072753B">
      <w:rPr>
        <w:rFonts w:ascii="Arial" w:hAnsi="Arial" w:cs="Arial"/>
        <w:color w:val="44546A" w:themeColor="text2"/>
        <w:szCs w:val="16"/>
      </w:rPr>
      <w:t>i</w:t>
    </w:r>
    <w:proofErr w:type="spellEnd"/>
    <w:r w:rsidRPr="0072753B">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6DE0" w14:textId="77777777" w:rsidR="008B6F94" w:rsidRPr="0072753B" w:rsidRDefault="008B6F94" w:rsidP="00FF0858">
      <w:pPr>
        <w:spacing w:after="0"/>
      </w:pPr>
      <w:r w:rsidRPr="0072753B">
        <w:separator/>
      </w:r>
    </w:p>
  </w:footnote>
  <w:footnote w:type="continuationSeparator" w:id="0">
    <w:p w14:paraId="1B7EE522" w14:textId="77777777" w:rsidR="008B6F94" w:rsidRPr="0072753B" w:rsidRDefault="008B6F94" w:rsidP="00FF0858">
      <w:pPr>
        <w:spacing w:after="0"/>
      </w:pPr>
      <w:r w:rsidRPr="0072753B">
        <w:continuationSeparator/>
      </w:r>
    </w:p>
  </w:footnote>
  <w:footnote w:type="continuationNotice" w:id="1">
    <w:p w14:paraId="39213887" w14:textId="77777777" w:rsidR="008B6F94" w:rsidRPr="0072753B" w:rsidRDefault="008B6F94">
      <w:pPr>
        <w:spacing w:after="0"/>
      </w:pPr>
    </w:p>
  </w:footnote>
  <w:footnote w:id="2">
    <w:p w14:paraId="66ED3AA8" w14:textId="4F3DAAB9" w:rsidR="00665525" w:rsidRPr="0072753B" w:rsidRDefault="00665525" w:rsidP="00A972EC">
      <w:pPr>
        <w:pStyle w:val="FootnoteText"/>
        <w:spacing w:before="120" w:after="120"/>
      </w:pPr>
      <w:r w:rsidRPr="0072753B">
        <w:rPr>
          <w:rStyle w:val="FootnoteReference"/>
        </w:rPr>
        <w:footnoteRef/>
      </w:r>
      <w:r w:rsidRPr="0072753B">
        <w:t xml:space="preserve"> Note that total funding only reflects the grants managed under these components</w:t>
      </w:r>
      <w:r w:rsidR="00951D01" w:rsidRPr="0072753B">
        <w:t xml:space="preserve"> that </w:t>
      </w:r>
      <w:r w:rsidR="00775AC0" w:rsidRPr="0072753B">
        <w:t xml:space="preserve">are </w:t>
      </w:r>
      <w:r w:rsidR="00951D01" w:rsidRPr="0072753B">
        <w:t xml:space="preserve">being implemented </w:t>
      </w:r>
      <w:r w:rsidR="00A12842" w:rsidRPr="0072753B">
        <w:t>regionally</w:t>
      </w:r>
      <w:r w:rsidRPr="0072753B">
        <w:t xml:space="preserve"> and does not reflect the total value of the components.</w:t>
      </w:r>
    </w:p>
  </w:footnote>
  <w:footnote w:id="3">
    <w:p w14:paraId="0443A1DA" w14:textId="027C9165" w:rsidR="002D5761" w:rsidRPr="0072753B" w:rsidRDefault="002D5761" w:rsidP="002D5761">
      <w:pPr>
        <w:pStyle w:val="FootnoteText"/>
        <w:ind w:left="142" w:hanging="142"/>
      </w:pPr>
      <w:r w:rsidRPr="0072753B">
        <w:rPr>
          <w:rStyle w:val="FootnoteReference"/>
        </w:rPr>
        <w:footnoteRef/>
      </w:r>
      <w:r w:rsidRPr="0072753B">
        <w:t xml:space="preserve"> Each component is a distinct implementing partner of PWL, which means that organisations have a direct grant agreement with donors or funders.</w:t>
      </w:r>
    </w:p>
  </w:footnote>
  <w:footnote w:id="4">
    <w:p w14:paraId="5952FCE6" w14:textId="22AF9305" w:rsidR="007F7D25" w:rsidRPr="0072753B" w:rsidRDefault="007F7D25">
      <w:pPr>
        <w:pStyle w:val="FootnoteText"/>
      </w:pPr>
      <w:r w:rsidRPr="0072753B">
        <w:rPr>
          <w:rStyle w:val="FootnoteReference"/>
        </w:rPr>
        <w:footnoteRef/>
      </w:r>
      <w:r w:rsidRPr="0072753B">
        <w:t xml:space="preserve"> Total funding is the remainder of PWL at SPC AUD 57,600,000 budget after </w:t>
      </w:r>
      <w:r w:rsidR="00822A76" w:rsidRPr="0072753B">
        <w:t xml:space="preserve">funding allocation to grantees. </w:t>
      </w:r>
    </w:p>
  </w:footnote>
  <w:footnote w:id="5">
    <w:p w14:paraId="6A3D48D8" w14:textId="3D9A4138" w:rsidR="00CD4B2B" w:rsidRPr="0072753B" w:rsidRDefault="00CD4B2B">
      <w:pPr>
        <w:pStyle w:val="FootnoteText"/>
      </w:pPr>
      <w:r w:rsidRPr="0072753B">
        <w:rPr>
          <w:rStyle w:val="FootnoteReference"/>
        </w:rPr>
        <w:footnoteRef/>
      </w:r>
      <w:r w:rsidRPr="0072753B">
        <w:t xml:space="preserve"> This figure represents AUD$57,600 minus the </w:t>
      </w:r>
      <w:r w:rsidR="00F26CEE" w:rsidRPr="0072753B">
        <w:t xml:space="preserve">confirmed grants supported by SPC’s government and civil society grants program. </w:t>
      </w:r>
    </w:p>
  </w:footnote>
  <w:footnote w:id="6">
    <w:p w14:paraId="2646DA09" w14:textId="46F1EC3B" w:rsidR="00B877FE" w:rsidRPr="0072753B" w:rsidRDefault="00B877FE">
      <w:pPr>
        <w:pStyle w:val="FootnoteText"/>
      </w:pPr>
      <w:r w:rsidRPr="0072753B">
        <w:rPr>
          <w:rStyle w:val="FootnoteReference"/>
        </w:rPr>
        <w:footnoteRef/>
      </w:r>
      <w:r w:rsidRPr="0072753B">
        <w:t xml:space="preserve"> Women Fund Fiji grants are listed in the Fiji country brief</w:t>
      </w:r>
    </w:p>
  </w:footnote>
  <w:footnote w:id="7">
    <w:p w14:paraId="4866754D" w14:textId="243BA68C" w:rsidR="00D744B9" w:rsidRPr="0072753B" w:rsidRDefault="00D744B9" w:rsidP="00D744B9">
      <w:pPr>
        <w:pStyle w:val="FootnoteText"/>
      </w:pPr>
      <w:r w:rsidRPr="0072753B">
        <w:rPr>
          <w:rStyle w:val="FootnoteReference"/>
        </w:rPr>
        <w:footnoteRef/>
      </w:r>
      <w:r w:rsidRPr="0072753B">
        <w:t xml:space="preserve"> Projects that have multiple phases are counted as one project.</w:t>
      </w:r>
    </w:p>
  </w:footnote>
  <w:footnote w:id="8">
    <w:p w14:paraId="181A4D63" w14:textId="77777777" w:rsidR="006C37FC" w:rsidRPr="0072753B" w:rsidRDefault="006C37FC" w:rsidP="006C37FC">
      <w:pPr>
        <w:pStyle w:val="FootnoteText"/>
      </w:pPr>
      <w:r w:rsidRPr="0072753B">
        <w:rPr>
          <w:rStyle w:val="FootnoteReference"/>
        </w:rPr>
        <w:footnoteRef/>
      </w:r>
      <w:r w:rsidRPr="0072753B">
        <w:t xml:space="preserve"> Projects that have multiple phases are counted as one project. </w:t>
      </w:r>
    </w:p>
  </w:footnote>
  <w:footnote w:id="9">
    <w:p w14:paraId="393966DC" w14:textId="08A57697" w:rsidR="00CB4767" w:rsidRPr="0072753B" w:rsidRDefault="00CB4767">
      <w:pPr>
        <w:pStyle w:val="FootnoteText"/>
      </w:pPr>
      <w:r w:rsidRPr="0072753B">
        <w:rPr>
          <w:rStyle w:val="FootnoteReference"/>
        </w:rPr>
        <w:footnoteRef/>
      </w:r>
      <w:r w:rsidRPr="0072753B">
        <w:t xml:space="preserve"> Projects that have multiple phases are counted as one project.</w:t>
      </w:r>
    </w:p>
  </w:footnote>
  <w:footnote w:id="10">
    <w:p w14:paraId="031D7251" w14:textId="7E23B0B9" w:rsidR="00A86E19" w:rsidRPr="0072753B" w:rsidRDefault="00A86E19">
      <w:pPr>
        <w:pStyle w:val="FootnoteText"/>
      </w:pPr>
      <w:r w:rsidRPr="0072753B">
        <w:rPr>
          <w:rStyle w:val="FootnoteReference"/>
        </w:rPr>
        <w:footnoteRef/>
      </w:r>
      <w:r w:rsidRPr="0072753B">
        <w:t xml:space="preserve"> </w:t>
      </w:r>
      <w:r w:rsidR="005338C7" w:rsidRPr="0072753B">
        <w:t>Total budget includes Nauru DFAT Post contribution of AUD 2,700,000</w:t>
      </w:r>
    </w:p>
  </w:footnote>
  <w:footnote w:id="11">
    <w:p w14:paraId="62E3E76F" w14:textId="31851FF1" w:rsidR="00C6065B" w:rsidRPr="0072753B" w:rsidRDefault="00C6065B">
      <w:pPr>
        <w:pStyle w:val="FootnoteText"/>
      </w:pPr>
      <w:r w:rsidRPr="0072753B">
        <w:rPr>
          <w:rStyle w:val="FootnoteReference"/>
        </w:rPr>
        <w:footnoteRef/>
      </w:r>
      <w:r w:rsidRPr="0072753B">
        <w:t xml:space="preserve"> Project evaluation completed in 2024. Next phase to be funded under Pacific Women Lead at SPC (TBC). </w:t>
      </w:r>
    </w:p>
  </w:footnote>
  <w:footnote w:id="12">
    <w:p w14:paraId="4427F7B8" w14:textId="318043A2" w:rsidR="00C6065B" w:rsidRPr="0072753B" w:rsidRDefault="00C6065B" w:rsidP="002C034D">
      <w:pPr>
        <w:pStyle w:val="FootnoteText"/>
      </w:pPr>
      <w:r w:rsidRPr="0072753B">
        <w:rPr>
          <w:rStyle w:val="FootnoteReference"/>
        </w:rPr>
        <w:footnoteRef/>
      </w:r>
      <w:r w:rsidRPr="0072753B">
        <w:t xml:space="preserve"> Total budget inclusive of Solomon Islands DFAT Post contribution of AUD 1,000,000 and Samoa DFAT Post contribution of AUD 2,650,000. Samoa DFAT Post has expended AUD 2,650,000 in Phase 1. </w:t>
      </w:r>
    </w:p>
    <w:p w14:paraId="597B28E8" w14:textId="4C572090" w:rsidR="00C6065B" w:rsidRPr="0072753B" w:rsidRDefault="00C6065B">
      <w:pPr>
        <w:pStyle w:val="FootnoteText"/>
      </w:pPr>
    </w:p>
  </w:footnote>
  <w:footnote w:id="13">
    <w:p w14:paraId="5536265B" w14:textId="77777777" w:rsidR="00C6065B" w:rsidRPr="0072753B" w:rsidRDefault="00C6065B" w:rsidP="005D28A8">
      <w:pPr>
        <w:pStyle w:val="FootnoteText"/>
      </w:pPr>
      <w:r w:rsidRPr="0072753B">
        <w:rPr>
          <w:rStyle w:val="FootnoteReference"/>
        </w:rPr>
        <w:footnoteRef/>
      </w:r>
      <w:r w:rsidRPr="0072753B">
        <w:t xml:space="preserve"> Total includes DFAT Post (TBC which Post) contribution of AUD 2,000,000. </w:t>
      </w:r>
    </w:p>
  </w:footnote>
  <w:footnote w:id="14">
    <w:p w14:paraId="2DB13098" w14:textId="2DB34AB0" w:rsidR="00C6065B" w:rsidRPr="0072753B" w:rsidRDefault="00C6065B">
      <w:pPr>
        <w:pStyle w:val="FootnoteText"/>
      </w:pPr>
      <w:r w:rsidRPr="0072753B">
        <w:rPr>
          <w:rStyle w:val="FootnoteReference"/>
        </w:rPr>
        <w:footnoteRef/>
      </w:r>
      <w:r w:rsidRPr="0072753B">
        <w:t xml:space="preserve"> Next phase will be funded under Pacific Women Lead at SPC.</w:t>
      </w:r>
    </w:p>
  </w:footnote>
  <w:footnote w:id="15">
    <w:p w14:paraId="70A77F24" w14:textId="6663BCC0" w:rsidR="00027EE4" w:rsidRPr="0072753B" w:rsidRDefault="00027EE4">
      <w:pPr>
        <w:pStyle w:val="FootnoteText"/>
      </w:pPr>
      <w:r w:rsidRPr="0072753B">
        <w:rPr>
          <w:rStyle w:val="FootnoteReference"/>
        </w:rPr>
        <w:footnoteRef/>
      </w:r>
      <w:r w:rsidRPr="0072753B">
        <w:t xml:space="preserve"> </w:t>
      </w:r>
      <w:r w:rsidR="006A34A1" w:rsidRPr="0072753B">
        <w:t xml:space="preserve">Total budget comes out of PWLES AUD 32,000,000 budget. </w:t>
      </w:r>
    </w:p>
  </w:footnote>
  <w:footnote w:id="16">
    <w:p w14:paraId="35327A2E" w14:textId="4C5433F0" w:rsidR="005902AB" w:rsidRPr="005902AB" w:rsidRDefault="005902AB">
      <w:pPr>
        <w:pStyle w:val="FootnoteText"/>
        <w:rPr>
          <w:lang w:val="en-US"/>
        </w:rPr>
      </w:pPr>
      <w:r w:rsidRPr="0072753B">
        <w:rPr>
          <w:rStyle w:val="FootnoteReference"/>
        </w:rPr>
        <w:footnoteRef/>
      </w:r>
      <w:r w:rsidRPr="0072753B">
        <w:t xml:space="preserve"> Total budget comes out of PWLES AUD 32,000,000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72753B" w:rsidRDefault="009A6D92" w:rsidP="00D523EE">
    <w:pPr>
      <w:pStyle w:val="BodyText"/>
      <w:spacing w:after="0"/>
    </w:pPr>
    <w:r w:rsidRPr="0072753B">
      <w:rPr>
        <w:i/>
        <w:sz w:val="16"/>
        <w:szCs w:val="16"/>
      </w:rPr>
      <w:t xml:space="preserve">Pacific Women </w:t>
    </w:r>
    <w:r w:rsidRPr="0072753B">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72753B" w:rsidRDefault="009A6D92" w:rsidP="00D523EE">
    <w:pPr>
      <w:pStyle w:val="Header"/>
      <w:jc w:val="right"/>
      <w:rPr>
        <w:color w:val="404040" w:themeColor="text1" w:themeTint="BF"/>
        <w:sz w:val="16"/>
        <w:szCs w:val="16"/>
      </w:rPr>
    </w:pPr>
    <w:r w:rsidRPr="0072753B">
      <w:rPr>
        <w:i/>
        <w:color w:val="404040" w:themeColor="text1" w:themeTint="BF"/>
        <w:sz w:val="16"/>
        <w:szCs w:val="16"/>
      </w:rPr>
      <w:t>Pacific Women</w:t>
    </w:r>
    <w:r w:rsidRPr="0072753B">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72753B"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5"/>
  </w:num>
  <w:num w:numId="21" w16cid:durableId="1531063650">
    <w:abstractNumId w:val="5"/>
  </w:num>
  <w:num w:numId="22" w16cid:durableId="880483194">
    <w:abstractNumId w:val="5"/>
  </w:num>
  <w:num w:numId="23" w16cid:durableId="1951740222">
    <w:abstractNumId w:val="5"/>
  </w:num>
  <w:num w:numId="24" w16cid:durableId="20842548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1869"/>
    <w:rsid w:val="00002EC0"/>
    <w:rsid w:val="000039C3"/>
    <w:rsid w:val="00004822"/>
    <w:rsid w:val="00005529"/>
    <w:rsid w:val="00005A78"/>
    <w:rsid w:val="00010A5A"/>
    <w:rsid w:val="00010E10"/>
    <w:rsid w:val="00011422"/>
    <w:rsid w:val="00011521"/>
    <w:rsid w:val="0001160C"/>
    <w:rsid w:val="00011E55"/>
    <w:rsid w:val="000127C0"/>
    <w:rsid w:val="000136AB"/>
    <w:rsid w:val="00013D0B"/>
    <w:rsid w:val="00014046"/>
    <w:rsid w:val="00014E9A"/>
    <w:rsid w:val="000150A5"/>
    <w:rsid w:val="00015219"/>
    <w:rsid w:val="00015B29"/>
    <w:rsid w:val="00015EDA"/>
    <w:rsid w:val="0001615A"/>
    <w:rsid w:val="000162EE"/>
    <w:rsid w:val="000165FA"/>
    <w:rsid w:val="0001765D"/>
    <w:rsid w:val="00020D5D"/>
    <w:rsid w:val="00021284"/>
    <w:rsid w:val="00021B01"/>
    <w:rsid w:val="00021EB0"/>
    <w:rsid w:val="00022191"/>
    <w:rsid w:val="00022319"/>
    <w:rsid w:val="00023396"/>
    <w:rsid w:val="00023BB3"/>
    <w:rsid w:val="00023E25"/>
    <w:rsid w:val="00025C5D"/>
    <w:rsid w:val="00027194"/>
    <w:rsid w:val="00027226"/>
    <w:rsid w:val="00027359"/>
    <w:rsid w:val="00027A9A"/>
    <w:rsid w:val="00027EE4"/>
    <w:rsid w:val="00030DC4"/>
    <w:rsid w:val="00031854"/>
    <w:rsid w:val="000322ED"/>
    <w:rsid w:val="000340B6"/>
    <w:rsid w:val="00034DB4"/>
    <w:rsid w:val="00035598"/>
    <w:rsid w:val="000356A6"/>
    <w:rsid w:val="00036D36"/>
    <w:rsid w:val="00037B5B"/>
    <w:rsid w:val="00040DEA"/>
    <w:rsid w:val="000410FD"/>
    <w:rsid w:val="000417E3"/>
    <w:rsid w:val="000418AA"/>
    <w:rsid w:val="000419CB"/>
    <w:rsid w:val="00041AD5"/>
    <w:rsid w:val="000426CF"/>
    <w:rsid w:val="00042F7C"/>
    <w:rsid w:val="000441AB"/>
    <w:rsid w:val="00044284"/>
    <w:rsid w:val="0004445C"/>
    <w:rsid w:val="00044721"/>
    <w:rsid w:val="00044E35"/>
    <w:rsid w:val="00044F7C"/>
    <w:rsid w:val="00046222"/>
    <w:rsid w:val="00046665"/>
    <w:rsid w:val="00046783"/>
    <w:rsid w:val="00047193"/>
    <w:rsid w:val="00047D96"/>
    <w:rsid w:val="000500F8"/>
    <w:rsid w:val="000508F7"/>
    <w:rsid w:val="00050AD9"/>
    <w:rsid w:val="00050C49"/>
    <w:rsid w:val="00051257"/>
    <w:rsid w:val="00052963"/>
    <w:rsid w:val="00053A7A"/>
    <w:rsid w:val="00053E51"/>
    <w:rsid w:val="000549BD"/>
    <w:rsid w:val="00054ABC"/>
    <w:rsid w:val="00054BD4"/>
    <w:rsid w:val="00054DB8"/>
    <w:rsid w:val="000557E4"/>
    <w:rsid w:val="000558C5"/>
    <w:rsid w:val="00055AB5"/>
    <w:rsid w:val="00056B07"/>
    <w:rsid w:val="00057ADA"/>
    <w:rsid w:val="00057B14"/>
    <w:rsid w:val="00057E2A"/>
    <w:rsid w:val="00058F17"/>
    <w:rsid w:val="00060E3D"/>
    <w:rsid w:val="00061B03"/>
    <w:rsid w:val="0006288A"/>
    <w:rsid w:val="0006297F"/>
    <w:rsid w:val="00062C4B"/>
    <w:rsid w:val="0006305B"/>
    <w:rsid w:val="000630A9"/>
    <w:rsid w:val="000631C2"/>
    <w:rsid w:val="00063AAF"/>
    <w:rsid w:val="00063DA6"/>
    <w:rsid w:val="000645FA"/>
    <w:rsid w:val="00065014"/>
    <w:rsid w:val="00065BF0"/>
    <w:rsid w:val="00065D75"/>
    <w:rsid w:val="00066C3B"/>
    <w:rsid w:val="00067392"/>
    <w:rsid w:val="00067731"/>
    <w:rsid w:val="00067A23"/>
    <w:rsid w:val="0007097C"/>
    <w:rsid w:val="0007216E"/>
    <w:rsid w:val="000721A6"/>
    <w:rsid w:val="0007467C"/>
    <w:rsid w:val="00074875"/>
    <w:rsid w:val="00074C2C"/>
    <w:rsid w:val="00074FEF"/>
    <w:rsid w:val="00075480"/>
    <w:rsid w:val="0007576F"/>
    <w:rsid w:val="0007619B"/>
    <w:rsid w:val="000761CA"/>
    <w:rsid w:val="00076C22"/>
    <w:rsid w:val="00080314"/>
    <w:rsid w:val="000823C7"/>
    <w:rsid w:val="0008240E"/>
    <w:rsid w:val="00082417"/>
    <w:rsid w:val="000826C9"/>
    <w:rsid w:val="00082A40"/>
    <w:rsid w:val="000852E2"/>
    <w:rsid w:val="00085363"/>
    <w:rsid w:val="0008538F"/>
    <w:rsid w:val="00085A53"/>
    <w:rsid w:val="00086611"/>
    <w:rsid w:val="00086B39"/>
    <w:rsid w:val="00086D3A"/>
    <w:rsid w:val="00087287"/>
    <w:rsid w:val="00087D32"/>
    <w:rsid w:val="00090D15"/>
    <w:rsid w:val="000910C5"/>
    <w:rsid w:val="00091A3D"/>
    <w:rsid w:val="00091DF0"/>
    <w:rsid w:val="00091F91"/>
    <w:rsid w:val="000929A4"/>
    <w:rsid w:val="00093917"/>
    <w:rsid w:val="00093C26"/>
    <w:rsid w:val="00093D22"/>
    <w:rsid w:val="00096351"/>
    <w:rsid w:val="0009643B"/>
    <w:rsid w:val="00096FB2"/>
    <w:rsid w:val="00097B39"/>
    <w:rsid w:val="00097DF6"/>
    <w:rsid w:val="000A0094"/>
    <w:rsid w:val="000A11A5"/>
    <w:rsid w:val="000A1F8E"/>
    <w:rsid w:val="000A2178"/>
    <w:rsid w:val="000A3186"/>
    <w:rsid w:val="000A3563"/>
    <w:rsid w:val="000A3C58"/>
    <w:rsid w:val="000A4E73"/>
    <w:rsid w:val="000A527E"/>
    <w:rsid w:val="000A5A20"/>
    <w:rsid w:val="000A713F"/>
    <w:rsid w:val="000A717C"/>
    <w:rsid w:val="000A75D2"/>
    <w:rsid w:val="000A7997"/>
    <w:rsid w:val="000A7A30"/>
    <w:rsid w:val="000A7CE4"/>
    <w:rsid w:val="000B0B46"/>
    <w:rsid w:val="000B0DC8"/>
    <w:rsid w:val="000B1874"/>
    <w:rsid w:val="000B226B"/>
    <w:rsid w:val="000B2967"/>
    <w:rsid w:val="000B2E2B"/>
    <w:rsid w:val="000B2F9C"/>
    <w:rsid w:val="000B3BEB"/>
    <w:rsid w:val="000B5DC7"/>
    <w:rsid w:val="000B68F8"/>
    <w:rsid w:val="000C0CCF"/>
    <w:rsid w:val="000C2817"/>
    <w:rsid w:val="000C2F98"/>
    <w:rsid w:val="000C334C"/>
    <w:rsid w:val="000C4234"/>
    <w:rsid w:val="000C4CD1"/>
    <w:rsid w:val="000C543C"/>
    <w:rsid w:val="000C618D"/>
    <w:rsid w:val="000C7207"/>
    <w:rsid w:val="000C7431"/>
    <w:rsid w:val="000C75EC"/>
    <w:rsid w:val="000C7829"/>
    <w:rsid w:val="000C79DB"/>
    <w:rsid w:val="000C7ADE"/>
    <w:rsid w:val="000C7B19"/>
    <w:rsid w:val="000C7B1C"/>
    <w:rsid w:val="000D0073"/>
    <w:rsid w:val="000D0BD5"/>
    <w:rsid w:val="000D14E0"/>
    <w:rsid w:val="000D1B0C"/>
    <w:rsid w:val="000D2554"/>
    <w:rsid w:val="000D3D9B"/>
    <w:rsid w:val="000D41B7"/>
    <w:rsid w:val="000D469B"/>
    <w:rsid w:val="000D5054"/>
    <w:rsid w:val="000D5526"/>
    <w:rsid w:val="000D6431"/>
    <w:rsid w:val="000D657E"/>
    <w:rsid w:val="000D79F7"/>
    <w:rsid w:val="000D7F70"/>
    <w:rsid w:val="000E0E4A"/>
    <w:rsid w:val="000E136B"/>
    <w:rsid w:val="000E59F0"/>
    <w:rsid w:val="000E6B7B"/>
    <w:rsid w:val="000E700F"/>
    <w:rsid w:val="000F00CB"/>
    <w:rsid w:val="000F05C8"/>
    <w:rsid w:val="000F0AB4"/>
    <w:rsid w:val="000F15D2"/>
    <w:rsid w:val="000F1A25"/>
    <w:rsid w:val="000F298D"/>
    <w:rsid w:val="000F2BEF"/>
    <w:rsid w:val="000F3415"/>
    <w:rsid w:val="000F3590"/>
    <w:rsid w:val="000F37F3"/>
    <w:rsid w:val="000F42CF"/>
    <w:rsid w:val="000F47B8"/>
    <w:rsid w:val="000F47E6"/>
    <w:rsid w:val="000F4E0A"/>
    <w:rsid w:val="000F5397"/>
    <w:rsid w:val="000F569C"/>
    <w:rsid w:val="000F6FB4"/>
    <w:rsid w:val="000F6FE0"/>
    <w:rsid w:val="000F78BD"/>
    <w:rsid w:val="001001CA"/>
    <w:rsid w:val="00101A3B"/>
    <w:rsid w:val="00101B47"/>
    <w:rsid w:val="00101D5C"/>
    <w:rsid w:val="00102D6F"/>
    <w:rsid w:val="00103B6A"/>
    <w:rsid w:val="00104866"/>
    <w:rsid w:val="0010517D"/>
    <w:rsid w:val="00105E2C"/>
    <w:rsid w:val="001060E0"/>
    <w:rsid w:val="00106C8B"/>
    <w:rsid w:val="0010777F"/>
    <w:rsid w:val="0010782C"/>
    <w:rsid w:val="00107935"/>
    <w:rsid w:val="00110CDE"/>
    <w:rsid w:val="00111417"/>
    <w:rsid w:val="00111BB1"/>
    <w:rsid w:val="00112306"/>
    <w:rsid w:val="00112A67"/>
    <w:rsid w:val="00112AC2"/>
    <w:rsid w:val="00112BB1"/>
    <w:rsid w:val="00113F31"/>
    <w:rsid w:val="001141E2"/>
    <w:rsid w:val="00114211"/>
    <w:rsid w:val="001145FC"/>
    <w:rsid w:val="00114B29"/>
    <w:rsid w:val="00114E33"/>
    <w:rsid w:val="00115470"/>
    <w:rsid w:val="0011602F"/>
    <w:rsid w:val="001171F4"/>
    <w:rsid w:val="00117ED0"/>
    <w:rsid w:val="0012022C"/>
    <w:rsid w:val="001204AF"/>
    <w:rsid w:val="00121859"/>
    <w:rsid w:val="001220DD"/>
    <w:rsid w:val="001234D2"/>
    <w:rsid w:val="0012372D"/>
    <w:rsid w:val="00123756"/>
    <w:rsid w:val="00124CA3"/>
    <w:rsid w:val="00124CEB"/>
    <w:rsid w:val="00125772"/>
    <w:rsid w:val="00126105"/>
    <w:rsid w:val="0012623F"/>
    <w:rsid w:val="00126672"/>
    <w:rsid w:val="001266BC"/>
    <w:rsid w:val="00126B55"/>
    <w:rsid w:val="00126E18"/>
    <w:rsid w:val="00127707"/>
    <w:rsid w:val="00127EB6"/>
    <w:rsid w:val="001306A9"/>
    <w:rsid w:val="00130B4F"/>
    <w:rsid w:val="00131611"/>
    <w:rsid w:val="00131D32"/>
    <w:rsid w:val="00133150"/>
    <w:rsid w:val="00133ECB"/>
    <w:rsid w:val="001340ED"/>
    <w:rsid w:val="001349E5"/>
    <w:rsid w:val="00134E13"/>
    <w:rsid w:val="00136413"/>
    <w:rsid w:val="00136744"/>
    <w:rsid w:val="001367D4"/>
    <w:rsid w:val="001374F3"/>
    <w:rsid w:val="00140582"/>
    <w:rsid w:val="00141120"/>
    <w:rsid w:val="00141696"/>
    <w:rsid w:val="0014214E"/>
    <w:rsid w:val="00142151"/>
    <w:rsid w:val="001421ED"/>
    <w:rsid w:val="00142202"/>
    <w:rsid w:val="00143BD6"/>
    <w:rsid w:val="00143F79"/>
    <w:rsid w:val="0014491E"/>
    <w:rsid w:val="00146BD6"/>
    <w:rsid w:val="00146D77"/>
    <w:rsid w:val="00147324"/>
    <w:rsid w:val="00147559"/>
    <w:rsid w:val="00150251"/>
    <w:rsid w:val="00150CCF"/>
    <w:rsid w:val="001517B4"/>
    <w:rsid w:val="00151DE3"/>
    <w:rsid w:val="0015202B"/>
    <w:rsid w:val="001527E4"/>
    <w:rsid w:val="00153CC2"/>
    <w:rsid w:val="00154F22"/>
    <w:rsid w:val="00156052"/>
    <w:rsid w:val="00156280"/>
    <w:rsid w:val="00156652"/>
    <w:rsid w:val="00156FAA"/>
    <w:rsid w:val="001573FB"/>
    <w:rsid w:val="00157AD2"/>
    <w:rsid w:val="00157CFB"/>
    <w:rsid w:val="00160164"/>
    <w:rsid w:val="0016017F"/>
    <w:rsid w:val="00160964"/>
    <w:rsid w:val="00160CA4"/>
    <w:rsid w:val="001612CA"/>
    <w:rsid w:val="001612EA"/>
    <w:rsid w:val="00164495"/>
    <w:rsid w:val="00164C0C"/>
    <w:rsid w:val="001654FB"/>
    <w:rsid w:val="00165529"/>
    <w:rsid w:val="00165881"/>
    <w:rsid w:val="00166C14"/>
    <w:rsid w:val="001719BF"/>
    <w:rsid w:val="001721E2"/>
    <w:rsid w:val="00172E40"/>
    <w:rsid w:val="00173530"/>
    <w:rsid w:val="00173692"/>
    <w:rsid w:val="001749DA"/>
    <w:rsid w:val="00175C53"/>
    <w:rsid w:val="00176EA4"/>
    <w:rsid w:val="001774EA"/>
    <w:rsid w:val="0017752D"/>
    <w:rsid w:val="00180205"/>
    <w:rsid w:val="001807D1"/>
    <w:rsid w:val="00181174"/>
    <w:rsid w:val="00181826"/>
    <w:rsid w:val="0018280B"/>
    <w:rsid w:val="00182B73"/>
    <w:rsid w:val="00182FD2"/>
    <w:rsid w:val="0018387A"/>
    <w:rsid w:val="00183F11"/>
    <w:rsid w:val="001840A0"/>
    <w:rsid w:val="0018425E"/>
    <w:rsid w:val="00185E68"/>
    <w:rsid w:val="00186548"/>
    <w:rsid w:val="001906B6"/>
    <w:rsid w:val="00191542"/>
    <w:rsid w:val="001919D6"/>
    <w:rsid w:val="001934B7"/>
    <w:rsid w:val="00193FCE"/>
    <w:rsid w:val="0019441D"/>
    <w:rsid w:val="001944B8"/>
    <w:rsid w:val="00194857"/>
    <w:rsid w:val="00194A74"/>
    <w:rsid w:val="00195944"/>
    <w:rsid w:val="00195950"/>
    <w:rsid w:val="0019675F"/>
    <w:rsid w:val="0019727A"/>
    <w:rsid w:val="001A01C8"/>
    <w:rsid w:val="001A0244"/>
    <w:rsid w:val="001A08C6"/>
    <w:rsid w:val="001A0DEE"/>
    <w:rsid w:val="001A1028"/>
    <w:rsid w:val="001A25AA"/>
    <w:rsid w:val="001A4078"/>
    <w:rsid w:val="001A4495"/>
    <w:rsid w:val="001A472D"/>
    <w:rsid w:val="001A47B3"/>
    <w:rsid w:val="001A610D"/>
    <w:rsid w:val="001A6687"/>
    <w:rsid w:val="001A6CCF"/>
    <w:rsid w:val="001B023C"/>
    <w:rsid w:val="001B0758"/>
    <w:rsid w:val="001B17CB"/>
    <w:rsid w:val="001B253A"/>
    <w:rsid w:val="001B25EA"/>
    <w:rsid w:val="001B295A"/>
    <w:rsid w:val="001B2F26"/>
    <w:rsid w:val="001B3349"/>
    <w:rsid w:val="001B3E30"/>
    <w:rsid w:val="001B4255"/>
    <w:rsid w:val="001B526A"/>
    <w:rsid w:val="001B5787"/>
    <w:rsid w:val="001B5EAF"/>
    <w:rsid w:val="001B6004"/>
    <w:rsid w:val="001B64DD"/>
    <w:rsid w:val="001B69F7"/>
    <w:rsid w:val="001B6E7A"/>
    <w:rsid w:val="001B7105"/>
    <w:rsid w:val="001B726F"/>
    <w:rsid w:val="001B7FDF"/>
    <w:rsid w:val="001C068A"/>
    <w:rsid w:val="001C0768"/>
    <w:rsid w:val="001C1FC4"/>
    <w:rsid w:val="001C2B26"/>
    <w:rsid w:val="001C3304"/>
    <w:rsid w:val="001C560D"/>
    <w:rsid w:val="001C5664"/>
    <w:rsid w:val="001C600B"/>
    <w:rsid w:val="001C686E"/>
    <w:rsid w:val="001C6964"/>
    <w:rsid w:val="001D00CB"/>
    <w:rsid w:val="001D0486"/>
    <w:rsid w:val="001D1383"/>
    <w:rsid w:val="001D185C"/>
    <w:rsid w:val="001D25D8"/>
    <w:rsid w:val="001D505D"/>
    <w:rsid w:val="001D5E2B"/>
    <w:rsid w:val="001D620D"/>
    <w:rsid w:val="001D692D"/>
    <w:rsid w:val="001D6C20"/>
    <w:rsid w:val="001D7CFD"/>
    <w:rsid w:val="001E0A3B"/>
    <w:rsid w:val="001E0D1B"/>
    <w:rsid w:val="001E1FE2"/>
    <w:rsid w:val="001E2C74"/>
    <w:rsid w:val="001E318A"/>
    <w:rsid w:val="001E36AD"/>
    <w:rsid w:val="001E44B8"/>
    <w:rsid w:val="001E4519"/>
    <w:rsid w:val="001E4528"/>
    <w:rsid w:val="001E468B"/>
    <w:rsid w:val="001E4CC1"/>
    <w:rsid w:val="001E5051"/>
    <w:rsid w:val="001E51BB"/>
    <w:rsid w:val="001E6ADC"/>
    <w:rsid w:val="001E6CE3"/>
    <w:rsid w:val="001E72F9"/>
    <w:rsid w:val="001E7F52"/>
    <w:rsid w:val="001F0A32"/>
    <w:rsid w:val="001F1217"/>
    <w:rsid w:val="001F1814"/>
    <w:rsid w:val="001F1885"/>
    <w:rsid w:val="001F1FBA"/>
    <w:rsid w:val="001F22B4"/>
    <w:rsid w:val="001F2479"/>
    <w:rsid w:val="001F3643"/>
    <w:rsid w:val="001F3D45"/>
    <w:rsid w:val="001F3F6D"/>
    <w:rsid w:val="001F4045"/>
    <w:rsid w:val="001F51F6"/>
    <w:rsid w:val="001F53B8"/>
    <w:rsid w:val="001F5543"/>
    <w:rsid w:val="001F5547"/>
    <w:rsid w:val="001F6987"/>
    <w:rsid w:val="00200E55"/>
    <w:rsid w:val="00202396"/>
    <w:rsid w:val="002027DE"/>
    <w:rsid w:val="00202FDA"/>
    <w:rsid w:val="00203903"/>
    <w:rsid w:val="002039EB"/>
    <w:rsid w:val="00204033"/>
    <w:rsid w:val="002050CD"/>
    <w:rsid w:val="00205530"/>
    <w:rsid w:val="002056A4"/>
    <w:rsid w:val="00206B65"/>
    <w:rsid w:val="00206D1E"/>
    <w:rsid w:val="00206FF1"/>
    <w:rsid w:val="00207334"/>
    <w:rsid w:val="0020743F"/>
    <w:rsid w:val="002074ED"/>
    <w:rsid w:val="00207D2C"/>
    <w:rsid w:val="002109D2"/>
    <w:rsid w:val="00210B89"/>
    <w:rsid w:val="002119E4"/>
    <w:rsid w:val="002126C8"/>
    <w:rsid w:val="00213926"/>
    <w:rsid w:val="002140E7"/>
    <w:rsid w:val="0021443A"/>
    <w:rsid w:val="002145EA"/>
    <w:rsid w:val="0021482E"/>
    <w:rsid w:val="00214A90"/>
    <w:rsid w:val="00215A2C"/>
    <w:rsid w:val="00216333"/>
    <w:rsid w:val="0021710E"/>
    <w:rsid w:val="0021713D"/>
    <w:rsid w:val="00217B16"/>
    <w:rsid w:val="0022248A"/>
    <w:rsid w:val="00222BB7"/>
    <w:rsid w:val="00222D4B"/>
    <w:rsid w:val="00223089"/>
    <w:rsid w:val="0022315D"/>
    <w:rsid w:val="00223274"/>
    <w:rsid w:val="002235DB"/>
    <w:rsid w:val="0022383F"/>
    <w:rsid w:val="00223E67"/>
    <w:rsid w:val="00224A14"/>
    <w:rsid w:val="00225563"/>
    <w:rsid w:val="002256D3"/>
    <w:rsid w:val="002264C6"/>
    <w:rsid w:val="00227C33"/>
    <w:rsid w:val="00230247"/>
    <w:rsid w:val="002314F5"/>
    <w:rsid w:val="00232366"/>
    <w:rsid w:val="00233C93"/>
    <w:rsid w:val="00233CB6"/>
    <w:rsid w:val="0023503D"/>
    <w:rsid w:val="002355BB"/>
    <w:rsid w:val="00235D28"/>
    <w:rsid w:val="00235F6C"/>
    <w:rsid w:val="00236154"/>
    <w:rsid w:val="00236B53"/>
    <w:rsid w:val="00236C83"/>
    <w:rsid w:val="00236FD1"/>
    <w:rsid w:val="00237BBC"/>
    <w:rsid w:val="00237DA9"/>
    <w:rsid w:val="00240278"/>
    <w:rsid w:val="002405B8"/>
    <w:rsid w:val="002405C0"/>
    <w:rsid w:val="00241209"/>
    <w:rsid w:val="00242AA8"/>
    <w:rsid w:val="00243633"/>
    <w:rsid w:val="00244923"/>
    <w:rsid w:val="00245A0A"/>
    <w:rsid w:val="00245A21"/>
    <w:rsid w:val="00245A39"/>
    <w:rsid w:val="00245BEC"/>
    <w:rsid w:val="002464B4"/>
    <w:rsid w:val="002468C6"/>
    <w:rsid w:val="00246CFC"/>
    <w:rsid w:val="002470C4"/>
    <w:rsid w:val="0024745C"/>
    <w:rsid w:val="00247922"/>
    <w:rsid w:val="00247CE3"/>
    <w:rsid w:val="00250525"/>
    <w:rsid w:val="00250C86"/>
    <w:rsid w:val="00251952"/>
    <w:rsid w:val="00252224"/>
    <w:rsid w:val="00252404"/>
    <w:rsid w:val="00252DAC"/>
    <w:rsid w:val="002537E8"/>
    <w:rsid w:val="002546F5"/>
    <w:rsid w:val="00254982"/>
    <w:rsid w:val="00254FBD"/>
    <w:rsid w:val="00255D12"/>
    <w:rsid w:val="0025611B"/>
    <w:rsid w:val="002561E6"/>
    <w:rsid w:val="00256289"/>
    <w:rsid w:val="00256946"/>
    <w:rsid w:val="00257005"/>
    <w:rsid w:val="002607B7"/>
    <w:rsid w:val="00260987"/>
    <w:rsid w:val="002609D5"/>
    <w:rsid w:val="00260D17"/>
    <w:rsid w:val="00261201"/>
    <w:rsid w:val="002625CB"/>
    <w:rsid w:val="00262723"/>
    <w:rsid w:val="002632B0"/>
    <w:rsid w:val="00263452"/>
    <w:rsid w:val="00263526"/>
    <w:rsid w:val="002635C9"/>
    <w:rsid w:val="00263B33"/>
    <w:rsid w:val="002641AA"/>
    <w:rsid w:val="002648E8"/>
    <w:rsid w:val="00265B7A"/>
    <w:rsid w:val="00266FB5"/>
    <w:rsid w:val="00267183"/>
    <w:rsid w:val="002674F7"/>
    <w:rsid w:val="0027029C"/>
    <w:rsid w:val="0027044F"/>
    <w:rsid w:val="002718C0"/>
    <w:rsid w:val="00271B8A"/>
    <w:rsid w:val="00271DA9"/>
    <w:rsid w:val="002722C8"/>
    <w:rsid w:val="00272D57"/>
    <w:rsid w:val="00274469"/>
    <w:rsid w:val="00275F3B"/>
    <w:rsid w:val="0027630D"/>
    <w:rsid w:val="002767CA"/>
    <w:rsid w:val="00277DEB"/>
    <w:rsid w:val="00277ECF"/>
    <w:rsid w:val="0028036B"/>
    <w:rsid w:val="00281E3F"/>
    <w:rsid w:val="00281E87"/>
    <w:rsid w:val="0028226E"/>
    <w:rsid w:val="00282DFA"/>
    <w:rsid w:val="00283AFC"/>
    <w:rsid w:val="00284252"/>
    <w:rsid w:val="00285946"/>
    <w:rsid w:val="00286970"/>
    <w:rsid w:val="002876C1"/>
    <w:rsid w:val="00287B47"/>
    <w:rsid w:val="00292336"/>
    <w:rsid w:val="00292C49"/>
    <w:rsid w:val="00292CEF"/>
    <w:rsid w:val="00293726"/>
    <w:rsid w:val="00294176"/>
    <w:rsid w:val="00294436"/>
    <w:rsid w:val="00295D3A"/>
    <w:rsid w:val="00296BF1"/>
    <w:rsid w:val="0029717D"/>
    <w:rsid w:val="0029740B"/>
    <w:rsid w:val="002975F6"/>
    <w:rsid w:val="00297AC3"/>
    <w:rsid w:val="002A0059"/>
    <w:rsid w:val="002A0139"/>
    <w:rsid w:val="002A0186"/>
    <w:rsid w:val="002A0233"/>
    <w:rsid w:val="002A03BD"/>
    <w:rsid w:val="002A057A"/>
    <w:rsid w:val="002A0DF0"/>
    <w:rsid w:val="002A1621"/>
    <w:rsid w:val="002A20A5"/>
    <w:rsid w:val="002A31FE"/>
    <w:rsid w:val="002A3888"/>
    <w:rsid w:val="002A44A2"/>
    <w:rsid w:val="002A454B"/>
    <w:rsid w:val="002A467E"/>
    <w:rsid w:val="002A4D7B"/>
    <w:rsid w:val="002A5285"/>
    <w:rsid w:val="002A55D8"/>
    <w:rsid w:val="002A6A3C"/>
    <w:rsid w:val="002A6DAE"/>
    <w:rsid w:val="002B0B94"/>
    <w:rsid w:val="002B0CBF"/>
    <w:rsid w:val="002B1BEE"/>
    <w:rsid w:val="002B2542"/>
    <w:rsid w:val="002B396F"/>
    <w:rsid w:val="002B3D5A"/>
    <w:rsid w:val="002B3F76"/>
    <w:rsid w:val="002B563D"/>
    <w:rsid w:val="002B5BD8"/>
    <w:rsid w:val="002B5E77"/>
    <w:rsid w:val="002B658C"/>
    <w:rsid w:val="002B6599"/>
    <w:rsid w:val="002B6818"/>
    <w:rsid w:val="002B6971"/>
    <w:rsid w:val="002B6C67"/>
    <w:rsid w:val="002C034D"/>
    <w:rsid w:val="002C0B2A"/>
    <w:rsid w:val="002C0B67"/>
    <w:rsid w:val="002C2356"/>
    <w:rsid w:val="002C2679"/>
    <w:rsid w:val="002C2789"/>
    <w:rsid w:val="002C2F36"/>
    <w:rsid w:val="002C34B2"/>
    <w:rsid w:val="002C477E"/>
    <w:rsid w:val="002C5798"/>
    <w:rsid w:val="002C5B18"/>
    <w:rsid w:val="002C6332"/>
    <w:rsid w:val="002C71F5"/>
    <w:rsid w:val="002D0275"/>
    <w:rsid w:val="002D098F"/>
    <w:rsid w:val="002D0E8E"/>
    <w:rsid w:val="002D114D"/>
    <w:rsid w:val="002D2A5C"/>
    <w:rsid w:val="002D2A73"/>
    <w:rsid w:val="002D47F1"/>
    <w:rsid w:val="002D4F07"/>
    <w:rsid w:val="002D502E"/>
    <w:rsid w:val="002D5761"/>
    <w:rsid w:val="002D682A"/>
    <w:rsid w:val="002D6C4D"/>
    <w:rsid w:val="002E073A"/>
    <w:rsid w:val="002E153F"/>
    <w:rsid w:val="002E2203"/>
    <w:rsid w:val="002E2F94"/>
    <w:rsid w:val="002E3B77"/>
    <w:rsid w:val="002E3F4B"/>
    <w:rsid w:val="002E40D4"/>
    <w:rsid w:val="002E4742"/>
    <w:rsid w:val="002E559F"/>
    <w:rsid w:val="002E5B57"/>
    <w:rsid w:val="002E6041"/>
    <w:rsid w:val="002E62C8"/>
    <w:rsid w:val="002E6566"/>
    <w:rsid w:val="002E78AF"/>
    <w:rsid w:val="002F01BA"/>
    <w:rsid w:val="002F0C03"/>
    <w:rsid w:val="002F0ECA"/>
    <w:rsid w:val="002F124D"/>
    <w:rsid w:val="002F15A5"/>
    <w:rsid w:val="002F1D43"/>
    <w:rsid w:val="002F20F3"/>
    <w:rsid w:val="002F26F3"/>
    <w:rsid w:val="002F290F"/>
    <w:rsid w:val="002F5ECB"/>
    <w:rsid w:val="002F6104"/>
    <w:rsid w:val="002F638D"/>
    <w:rsid w:val="002F6B56"/>
    <w:rsid w:val="002F6C9C"/>
    <w:rsid w:val="002F6D59"/>
    <w:rsid w:val="002F706F"/>
    <w:rsid w:val="0030040B"/>
    <w:rsid w:val="0030041E"/>
    <w:rsid w:val="00301D55"/>
    <w:rsid w:val="00302743"/>
    <w:rsid w:val="00302AB4"/>
    <w:rsid w:val="00303373"/>
    <w:rsid w:val="003037D5"/>
    <w:rsid w:val="003040ED"/>
    <w:rsid w:val="00304315"/>
    <w:rsid w:val="0030473D"/>
    <w:rsid w:val="00304E2C"/>
    <w:rsid w:val="00305724"/>
    <w:rsid w:val="0030582A"/>
    <w:rsid w:val="003079C2"/>
    <w:rsid w:val="00310279"/>
    <w:rsid w:val="00311517"/>
    <w:rsid w:val="00311846"/>
    <w:rsid w:val="00312A35"/>
    <w:rsid w:val="00313079"/>
    <w:rsid w:val="003136AB"/>
    <w:rsid w:val="00313724"/>
    <w:rsid w:val="0031395A"/>
    <w:rsid w:val="00313AB7"/>
    <w:rsid w:val="00313DF7"/>
    <w:rsid w:val="00315067"/>
    <w:rsid w:val="003150F0"/>
    <w:rsid w:val="00315ACE"/>
    <w:rsid w:val="00315C1B"/>
    <w:rsid w:val="00315FE3"/>
    <w:rsid w:val="00316719"/>
    <w:rsid w:val="003168DE"/>
    <w:rsid w:val="00316A1A"/>
    <w:rsid w:val="00317A09"/>
    <w:rsid w:val="00317DD3"/>
    <w:rsid w:val="00317E93"/>
    <w:rsid w:val="0032014A"/>
    <w:rsid w:val="003203B3"/>
    <w:rsid w:val="00320C4F"/>
    <w:rsid w:val="00321BA9"/>
    <w:rsid w:val="003236E7"/>
    <w:rsid w:val="0032391D"/>
    <w:rsid w:val="003240E2"/>
    <w:rsid w:val="00325E7E"/>
    <w:rsid w:val="0032600B"/>
    <w:rsid w:val="00326A92"/>
    <w:rsid w:val="00327BAE"/>
    <w:rsid w:val="0033012F"/>
    <w:rsid w:val="00330587"/>
    <w:rsid w:val="00330687"/>
    <w:rsid w:val="003306D8"/>
    <w:rsid w:val="00330F40"/>
    <w:rsid w:val="0033158D"/>
    <w:rsid w:val="00331E4E"/>
    <w:rsid w:val="00332150"/>
    <w:rsid w:val="003321AB"/>
    <w:rsid w:val="00332E8F"/>
    <w:rsid w:val="0033454C"/>
    <w:rsid w:val="00334D55"/>
    <w:rsid w:val="00335D84"/>
    <w:rsid w:val="00336971"/>
    <w:rsid w:val="00336982"/>
    <w:rsid w:val="00337574"/>
    <w:rsid w:val="0034049C"/>
    <w:rsid w:val="00340635"/>
    <w:rsid w:val="00340B08"/>
    <w:rsid w:val="003411EF"/>
    <w:rsid w:val="0034202B"/>
    <w:rsid w:val="0034278F"/>
    <w:rsid w:val="00342922"/>
    <w:rsid w:val="003430D9"/>
    <w:rsid w:val="003434ED"/>
    <w:rsid w:val="00344010"/>
    <w:rsid w:val="00344851"/>
    <w:rsid w:val="0034597A"/>
    <w:rsid w:val="0034647C"/>
    <w:rsid w:val="0034719B"/>
    <w:rsid w:val="003473C3"/>
    <w:rsid w:val="00347B81"/>
    <w:rsid w:val="00347D7D"/>
    <w:rsid w:val="00350AF7"/>
    <w:rsid w:val="00351125"/>
    <w:rsid w:val="00351A01"/>
    <w:rsid w:val="00351AB5"/>
    <w:rsid w:val="003522A2"/>
    <w:rsid w:val="00352BC4"/>
    <w:rsid w:val="00352BCF"/>
    <w:rsid w:val="0035358F"/>
    <w:rsid w:val="003535BE"/>
    <w:rsid w:val="003537EB"/>
    <w:rsid w:val="00353849"/>
    <w:rsid w:val="00353D2C"/>
    <w:rsid w:val="003553D6"/>
    <w:rsid w:val="00357A79"/>
    <w:rsid w:val="00360F79"/>
    <w:rsid w:val="00362A85"/>
    <w:rsid w:val="0036395C"/>
    <w:rsid w:val="00364303"/>
    <w:rsid w:val="00364610"/>
    <w:rsid w:val="003647B9"/>
    <w:rsid w:val="00365030"/>
    <w:rsid w:val="003650E8"/>
    <w:rsid w:val="003652CF"/>
    <w:rsid w:val="0036551A"/>
    <w:rsid w:val="00365BD9"/>
    <w:rsid w:val="0036611C"/>
    <w:rsid w:val="0036677B"/>
    <w:rsid w:val="003669CB"/>
    <w:rsid w:val="003671DE"/>
    <w:rsid w:val="0037101D"/>
    <w:rsid w:val="003716C1"/>
    <w:rsid w:val="0037199B"/>
    <w:rsid w:val="00372835"/>
    <w:rsid w:val="003745BA"/>
    <w:rsid w:val="00374E61"/>
    <w:rsid w:val="00374F95"/>
    <w:rsid w:val="003752AB"/>
    <w:rsid w:val="003761B0"/>
    <w:rsid w:val="00376571"/>
    <w:rsid w:val="003769D3"/>
    <w:rsid w:val="00376AA5"/>
    <w:rsid w:val="00376BA2"/>
    <w:rsid w:val="00376E76"/>
    <w:rsid w:val="00377054"/>
    <w:rsid w:val="00377294"/>
    <w:rsid w:val="0038075B"/>
    <w:rsid w:val="003808E6"/>
    <w:rsid w:val="00384709"/>
    <w:rsid w:val="003854A9"/>
    <w:rsid w:val="0038552F"/>
    <w:rsid w:val="00385EFC"/>
    <w:rsid w:val="003876A3"/>
    <w:rsid w:val="00390359"/>
    <w:rsid w:val="00390885"/>
    <w:rsid w:val="00391BB1"/>
    <w:rsid w:val="00392051"/>
    <w:rsid w:val="00392632"/>
    <w:rsid w:val="00392C2D"/>
    <w:rsid w:val="0039337F"/>
    <w:rsid w:val="00394381"/>
    <w:rsid w:val="003952F4"/>
    <w:rsid w:val="0039556C"/>
    <w:rsid w:val="00395B0C"/>
    <w:rsid w:val="0039617F"/>
    <w:rsid w:val="00396791"/>
    <w:rsid w:val="00396EBD"/>
    <w:rsid w:val="0039726C"/>
    <w:rsid w:val="00397C2C"/>
    <w:rsid w:val="003A1B76"/>
    <w:rsid w:val="003A2417"/>
    <w:rsid w:val="003A2624"/>
    <w:rsid w:val="003A2A65"/>
    <w:rsid w:val="003A2FF8"/>
    <w:rsid w:val="003A30BD"/>
    <w:rsid w:val="003A35E3"/>
    <w:rsid w:val="003A45A6"/>
    <w:rsid w:val="003A511A"/>
    <w:rsid w:val="003A56E3"/>
    <w:rsid w:val="003A5924"/>
    <w:rsid w:val="003A59EB"/>
    <w:rsid w:val="003A5C40"/>
    <w:rsid w:val="003A5C7A"/>
    <w:rsid w:val="003A6086"/>
    <w:rsid w:val="003A616B"/>
    <w:rsid w:val="003A6CD4"/>
    <w:rsid w:val="003A6E90"/>
    <w:rsid w:val="003A731C"/>
    <w:rsid w:val="003A7744"/>
    <w:rsid w:val="003B0789"/>
    <w:rsid w:val="003B0FFC"/>
    <w:rsid w:val="003B11EF"/>
    <w:rsid w:val="003B1217"/>
    <w:rsid w:val="003B1299"/>
    <w:rsid w:val="003B243E"/>
    <w:rsid w:val="003B2E91"/>
    <w:rsid w:val="003B302A"/>
    <w:rsid w:val="003B3BAA"/>
    <w:rsid w:val="003B3E93"/>
    <w:rsid w:val="003B436A"/>
    <w:rsid w:val="003B4ECF"/>
    <w:rsid w:val="003B4EE2"/>
    <w:rsid w:val="003B5927"/>
    <w:rsid w:val="003B5BC4"/>
    <w:rsid w:val="003B5E37"/>
    <w:rsid w:val="003B66E6"/>
    <w:rsid w:val="003B6F72"/>
    <w:rsid w:val="003B7BED"/>
    <w:rsid w:val="003B7E1D"/>
    <w:rsid w:val="003C02F1"/>
    <w:rsid w:val="003C07A1"/>
    <w:rsid w:val="003C0A56"/>
    <w:rsid w:val="003C10EE"/>
    <w:rsid w:val="003C11F9"/>
    <w:rsid w:val="003C2221"/>
    <w:rsid w:val="003C320C"/>
    <w:rsid w:val="003C369C"/>
    <w:rsid w:val="003C39F6"/>
    <w:rsid w:val="003C3FF8"/>
    <w:rsid w:val="003C4032"/>
    <w:rsid w:val="003C4AAE"/>
    <w:rsid w:val="003C5EC3"/>
    <w:rsid w:val="003C618C"/>
    <w:rsid w:val="003C7815"/>
    <w:rsid w:val="003D01F3"/>
    <w:rsid w:val="003D12B6"/>
    <w:rsid w:val="003D1D10"/>
    <w:rsid w:val="003D21E1"/>
    <w:rsid w:val="003D256B"/>
    <w:rsid w:val="003D33E1"/>
    <w:rsid w:val="003D3528"/>
    <w:rsid w:val="003D4153"/>
    <w:rsid w:val="003D5BFD"/>
    <w:rsid w:val="003D5F4F"/>
    <w:rsid w:val="003D633F"/>
    <w:rsid w:val="003D6597"/>
    <w:rsid w:val="003E0883"/>
    <w:rsid w:val="003E1F96"/>
    <w:rsid w:val="003E2336"/>
    <w:rsid w:val="003E2C57"/>
    <w:rsid w:val="003E30B0"/>
    <w:rsid w:val="003E35C4"/>
    <w:rsid w:val="003E4025"/>
    <w:rsid w:val="003E42B6"/>
    <w:rsid w:val="003E4F75"/>
    <w:rsid w:val="003E5075"/>
    <w:rsid w:val="003E56AA"/>
    <w:rsid w:val="003E59CC"/>
    <w:rsid w:val="003E5CC9"/>
    <w:rsid w:val="003E5DDB"/>
    <w:rsid w:val="003E5E36"/>
    <w:rsid w:val="003E6D78"/>
    <w:rsid w:val="003E6DD6"/>
    <w:rsid w:val="003E7923"/>
    <w:rsid w:val="003F02DF"/>
    <w:rsid w:val="003F0805"/>
    <w:rsid w:val="003F08AF"/>
    <w:rsid w:val="003F14B9"/>
    <w:rsid w:val="003F2ED3"/>
    <w:rsid w:val="003F3873"/>
    <w:rsid w:val="003F3E96"/>
    <w:rsid w:val="003F4836"/>
    <w:rsid w:val="003F521F"/>
    <w:rsid w:val="003F5584"/>
    <w:rsid w:val="003F574B"/>
    <w:rsid w:val="003F5982"/>
    <w:rsid w:val="003F5AED"/>
    <w:rsid w:val="003F6E9D"/>
    <w:rsid w:val="003F78DF"/>
    <w:rsid w:val="003F7E1B"/>
    <w:rsid w:val="00400724"/>
    <w:rsid w:val="00400B44"/>
    <w:rsid w:val="00400D58"/>
    <w:rsid w:val="0040110D"/>
    <w:rsid w:val="004016AE"/>
    <w:rsid w:val="00401E47"/>
    <w:rsid w:val="004020F2"/>
    <w:rsid w:val="004021BF"/>
    <w:rsid w:val="00402C94"/>
    <w:rsid w:val="00402DB6"/>
    <w:rsid w:val="00402E3C"/>
    <w:rsid w:val="00403769"/>
    <w:rsid w:val="00403B78"/>
    <w:rsid w:val="00403E7E"/>
    <w:rsid w:val="00404702"/>
    <w:rsid w:val="00405483"/>
    <w:rsid w:val="00405BC0"/>
    <w:rsid w:val="0040694F"/>
    <w:rsid w:val="00406A3C"/>
    <w:rsid w:val="0040728F"/>
    <w:rsid w:val="00407758"/>
    <w:rsid w:val="00410F5B"/>
    <w:rsid w:val="00411E09"/>
    <w:rsid w:val="00412695"/>
    <w:rsid w:val="0041389B"/>
    <w:rsid w:val="00413CA1"/>
    <w:rsid w:val="004150CD"/>
    <w:rsid w:val="00415C0B"/>
    <w:rsid w:val="00415E62"/>
    <w:rsid w:val="004161AE"/>
    <w:rsid w:val="004161B0"/>
    <w:rsid w:val="00416339"/>
    <w:rsid w:val="0041637B"/>
    <w:rsid w:val="004173A2"/>
    <w:rsid w:val="0042023F"/>
    <w:rsid w:val="004208F1"/>
    <w:rsid w:val="00420905"/>
    <w:rsid w:val="004217AF"/>
    <w:rsid w:val="00421878"/>
    <w:rsid w:val="00422255"/>
    <w:rsid w:val="004225D5"/>
    <w:rsid w:val="00422811"/>
    <w:rsid w:val="00422D30"/>
    <w:rsid w:val="004239DC"/>
    <w:rsid w:val="00423B3C"/>
    <w:rsid w:val="00423C57"/>
    <w:rsid w:val="004242A2"/>
    <w:rsid w:val="00424874"/>
    <w:rsid w:val="00424A62"/>
    <w:rsid w:val="004255DD"/>
    <w:rsid w:val="004258A9"/>
    <w:rsid w:val="0042592A"/>
    <w:rsid w:val="0042618A"/>
    <w:rsid w:val="004262C1"/>
    <w:rsid w:val="00426CAD"/>
    <w:rsid w:val="00426F7A"/>
    <w:rsid w:val="00426FFC"/>
    <w:rsid w:val="00427079"/>
    <w:rsid w:val="00427889"/>
    <w:rsid w:val="00427D25"/>
    <w:rsid w:val="00430842"/>
    <w:rsid w:val="0043173C"/>
    <w:rsid w:val="00431A6A"/>
    <w:rsid w:val="00431C16"/>
    <w:rsid w:val="00432107"/>
    <w:rsid w:val="004321BE"/>
    <w:rsid w:val="00432E70"/>
    <w:rsid w:val="004332AD"/>
    <w:rsid w:val="0043356F"/>
    <w:rsid w:val="00433BE4"/>
    <w:rsid w:val="00433C69"/>
    <w:rsid w:val="00434560"/>
    <w:rsid w:val="0043504B"/>
    <w:rsid w:val="004365A3"/>
    <w:rsid w:val="00436699"/>
    <w:rsid w:val="00436870"/>
    <w:rsid w:val="00436CB9"/>
    <w:rsid w:val="00436FD7"/>
    <w:rsid w:val="004370A8"/>
    <w:rsid w:val="00437116"/>
    <w:rsid w:val="00437953"/>
    <w:rsid w:val="004400E0"/>
    <w:rsid w:val="00440CCC"/>
    <w:rsid w:val="00440EAD"/>
    <w:rsid w:val="004412CD"/>
    <w:rsid w:val="00442822"/>
    <w:rsid w:val="0044302A"/>
    <w:rsid w:val="0044359B"/>
    <w:rsid w:val="00443CD8"/>
    <w:rsid w:val="004442AB"/>
    <w:rsid w:val="00444C12"/>
    <w:rsid w:val="004458A2"/>
    <w:rsid w:val="004459F3"/>
    <w:rsid w:val="00445A06"/>
    <w:rsid w:val="004462F4"/>
    <w:rsid w:val="00447758"/>
    <w:rsid w:val="00450F60"/>
    <w:rsid w:val="00452100"/>
    <w:rsid w:val="00453DB2"/>
    <w:rsid w:val="00454757"/>
    <w:rsid w:val="00456302"/>
    <w:rsid w:val="0045638F"/>
    <w:rsid w:val="0045662C"/>
    <w:rsid w:val="00461104"/>
    <w:rsid w:val="00461264"/>
    <w:rsid w:val="004613B7"/>
    <w:rsid w:val="0046190F"/>
    <w:rsid w:val="00461B7A"/>
    <w:rsid w:val="00462CBB"/>
    <w:rsid w:val="00462DB7"/>
    <w:rsid w:val="004638F1"/>
    <w:rsid w:val="00463BBE"/>
    <w:rsid w:val="00463E86"/>
    <w:rsid w:val="0046460C"/>
    <w:rsid w:val="00465053"/>
    <w:rsid w:val="004668AA"/>
    <w:rsid w:val="00466D49"/>
    <w:rsid w:val="00467458"/>
    <w:rsid w:val="00467619"/>
    <w:rsid w:val="004676B4"/>
    <w:rsid w:val="004679C9"/>
    <w:rsid w:val="00470FB5"/>
    <w:rsid w:val="004719C6"/>
    <w:rsid w:val="004726C5"/>
    <w:rsid w:val="00472C1E"/>
    <w:rsid w:val="00473AE7"/>
    <w:rsid w:val="00474529"/>
    <w:rsid w:val="0047459A"/>
    <w:rsid w:val="0047462F"/>
    <w:rsid w:val="004753EC"/>
    <w:rsid w:val="00475C79"/>
    <w:rsid w:val="00475E31"/>
    <w:rsid w:val="004763E2"/>
    <w:rsid w:val="00476C7A"/>
    <w:rsid w:val="00477925"/>
    <w:rsid w:val="00480A63"/>
    <w:rsid w:val="00480FA0"/>
    <w:rsid w:val="0048214D"/>
    <w:rsid w:val="0048383F"/>
    <w:rsid w:val="00483898"/>
    <w:rsid w:val="00484302"/>
    <w:rsid w:val="004852CC"/>
    <w:rsid w:val="00486750"/>
    <w:rsid w:val="00486A93"/>
    <w:rsid w:val="004876E1"/>
    <w:rsid w:val="00490BEB"/>
    <w:rsid w:val="00491E8C"/>
    <w:rsid w:val="00492301"/>
    <w:rsid w:val="00492F15"/>
    <w:rsid w:val="0049354E"/>
    <w:rsid w:val="004937E2"/>
    <w:rsid w:val="00493A22"/>
    <w:rsid w:val="00494A9C"/>
    <w:rsid w:val="004969B2"/>
    <w:rsid w:val="004969F6"/>
    <w:rsid w:val="00497A85"/>
    <w:rsid w:val="00497AFA"/>
    <w:rsid w:val="004A0338"/>
    <w:rsid w:val="004A059C"/>
    <w:rsid w:val="004A0C87"/>
    <w:rsid w:val="004A2F22"/>
    <w:rsid w:val="004A2FB8"/>
    <w:rsid w:val="004A457C"/>
    <w:rsid w:val="004A5648"/>
    <w:rsid w:val="004A5B5B"/>
    <w:rsid w:val="004A743A"/>
    <w:rsid w:val="004A7DC2"/>
    <w:rsid w:val="004A7DCE"/>
    <w:rsid w:val="004A7E88"/>
    <w:rsid w:val="004B00D8"/>
    <w:rsid w:val="004B1C7C"/>
    <w:rsid w:val="004B3B4C"/>
    <w:rsid w:val="004B3D90"/>
    <w:rsid w:val="004B51CD"/>
    <w:rsid w:val="004B5668"/>
    <w:rsid w:val="004B5863"/>
    <w:rsid w:val="004B5A07"/>
    <w:rsid w:val="004B5B1D"/>
    <w:rsid w:val="004B6296"/>
    <w:rsid w:val="004B7231"/>
    <w:rsid w:val="004B7FE8"/>
    <w:rsid w:val="004C0260"/>
    <w:rsid w:val="004C0330"/>
    <w:rsid w:val="004C05F1"/>
    <w:rsid w:val="004C0ADE"/>
    <w:rsid w:val="004C1569"/>
    <w:rsid w:val="004C1A21"/>
    <w:rsid w:val="004C463B"/>
    <w:rsid w:val="004C4A91"/>
    <w:rsid w:val="004C546F"/>
    <w:rsid w:val="004C55EB"/>
    <w:rsid w:val="004C6E80"/>
    <w:rsid w:val="004C6F0F"/>
    <w:rsid w:val="004C7061"/>
    <w:rsid w:val="004C75C3"/>
    <w:rsid w:val="004D1184"/>
    <w:rsid w:val="004D127E"/>
    <w:rsid w:val="004D2295"/>
    <w:rsid w:val="004D29AE"/>
    <w:rsid w:val="004D3C86"/>
    <w:rsid w:val="004D4AB4"/>
    <w:rsid w:val="004D4ADF"/>
    <w:rsid w:val="004D5703"/>
    <w:rsid w:val="004D6C91"/>
    <w:rsid w:val="004D6D83"/>
    <w:rsid w:val="004D7647"/>
    <w:rsid w:val="004D7F4F"/>
    <w:rsid w:val="004E04F0"/>
    <w:rsid w:val="004E1BE2"/>
    <w:rsid w:val="004E1E29"/>
    <w:rsid w:val="004E2A7E"/>
    <w:rsid w:val="004E2FCF"/>
    <w:rsid w:val="004E353B"/>
    <w:rsid w:val="004E38A9"/>
    <w:rsid w:val="004E44E4"/>
    <w:rsid w:val="004E53BB"/>
    <w:rsid w:val="004E601C"/>
    <w:rsid w:val="004E6DDA"/>
    <w:rsid w:val="004E7290"/>
    <w:rsid w:val="004E73CA"/>
    <w:rsid w:val="004E73F1"/>
    <w:rsid w:val="004E76F7"/>
    <w:rsid w:val="004E7C1E"/>
    <w:rsid w:val="004F06B3"/>
    <w:rsid w:val="004F16DF"/>
    <w:rsid w:val="004F21FF"/>
    <w:rsid w:val="004F2A76"/>
    <w:rsid w:val="004F2AE2"/>
    <w:rsid w:val="004F3B5F"/>
    <w:rsid w:val="004F4048"/>
    <w:rsid w:val="004F439E"/>
    <w:rsid w:val="004F493B"/>
    <w:rsid w:val="004F4B8E"/>
    <w:rsid w:val="004F4E95"/>
    <w:rsid w:val="004F50EA"/>
    <w:rsid w:val="004F66D6"/>
    <w:rsid w:val="004F6CFA"/>
    <w:rsid w:val="004F707A"/>
    <w:rsid w:val="004F7844"/>
    <w:rsid w:val="005003FA"/>
    <w:rsid w:val="00500733"/>
    <w:rsid w:val="00500835"/>
    <w:rsid w:val="00501B62"/>
    <w:rsid w:val="00503158"/>
    <w:rsid w:val="0050375D"/>
    <w:rsid w:val="00504D53"/>
    <w:rsid w:val="00506FEF"/>
    <w:rsid w:val="00507251"/>
    <w:rsid w:val="00507290"/>
    <w:rsid w:val="005074C1"/>
    <w:rsid w:val="00507621"/>
    <w:rsid w:val="00510428"/>
    <w:rsid w:val="0051050B"/>
    <w:rsid w:val="00510D78"/>
    <w:rsid w:val="0051136B"/>
    <w:rsid w:val="00511BE3"/>
    <w:rsid w:val="005128A5"/>
    <w:rsid w:val="005134F1"/>
    <w:rsid w:val="0051370A"/>
    <w:rsid w:val="0051385F"/>
    <w:rsid w:val="00513966"/>
    <w:rsid w:val="005150C5"/>
    <w:rsid w:val="005165C1"/>
    <w:rsid w:val="005165FD"/>
    <w:rsid w:val="00520A9C"/>
    <w:rsid w:val="00520B88"/>
    <w:rsid w:val="00520C7A"/>
    <w:rsid w:val="005211C9"/>
    <w:rsid w:val="0052124D"/>
    <w:rsid w:val="005224D2"/>
    <w:rsid w:val="0052312B"/>
    <w:rsid w:val="0052338C"/>
    <w:rsid w:val="00523B17"/>
    <w:rsid w:val="00524A56"/>
    <w:rsid w:val="005253A6"/>
    <w:rsid w:val="00526A65"/>
    <w:rsid w:val="0052732C"/>
    <w:rsid w:val="00530B90"/>
    <w:rsid w:val="00530DCB"/>
    <w:rsid w:val="00531F28"/>
    <w:rsid w:val="005327EF"/>
    <w:rsid w:val="00532A1F"/>
    <w:rsid w:val="0053314B"/>
    <w:rsid w:val="00533771"/>
    <w:rsid w:val="005338C7"/>
    <w:rsid w:val="00533E98"/>
    <w:rsid w:val="00533EEF"/>
    <w:rsid w:val="00534102"/>
    <w:rsid w:val="00535682"/>
    <w:rsid w:val="00536DCD"/>
    <w:rsid w:val="00537521"/>
    <w:rsid w:val="00540539"/>
    <w:rsid w:val="00541A08"/>
    <w:rsid w:val="00541EB7"/>
    <w:rsid w:val="00542065"/>
    <w:rsid w:val="005424B6"/>
    <w:rsid w:val="005425C2"/>
    <w:rsid w:val="00542999"/>
    <w:rsid w:val="00542C5F"/>
    <w:rsid w:val="00542FAB"/>
    <w:rsid w:val="005430CF"/>
    <w:rsid w:val="005441E4"/>
    <w:rsid w:val="00544389"/>
    <w:rsid w:val="00544701"/>
    <w:rsid w:val="005447AA"/>
    <w:rsid w:val="00544C6D"/>
    <w:rsid w:val="00546137"/>
    <w:rsid w:val="0054683B"/>
    <w:rsid w:val="00546C87"/>
    <w:rsid w:val="005473CC"/>
    <w:rsid w:val="00551B47"/>
    <w:rsid w:val="00551FDE"/>
    <w:rsid w:val="00552A04"/>
    <w:rsid w:val="00553922"/>
    <w:rsid w:val="0055485E"/>
    <w:rsid w:val="00554ABB"/>
    <w:rsid w:val="00554B17"/>
    <w:rsid w:val="005566D6"/>
    <w:rsid w:val="005567B9"/>
    <w:rsid w:val="00557749"/>
    <w:rsid w:val="00557958"/>
    <w:rsid w:val="005620C7"/>
    <w:rsid w:val="005623BB"/>
    <w:rsid w:val="00563617"/>
    <w:rsid w:val="00563B47"/>
    <w:rsid w:val="00563D5D"/>
    <w:rsid w:val="005649A9"/>
    <w:rsid w:val="0056502A"/>
    <w:rsid w:val="0056527F"/>
    <w:rsid w:val="00565A23"/>
    <w:rsid w:val="00566870"/>
    <w:rsid w:val="00566A83"/>
    <w:rsid w:val="00570A67"/>
    <w:rsid w:val="00571050"/>
    <w:rsid w:val="0057165E"/>
    <w:rsid w:val="0057166C"/>
    <w:rsid w:val="005734FD"/>
    <w:rsid w:val="00573BD7"/>
    <w:rsid w:val="00574BCA"/>
    <w:rsid w:val="00575662"/>
    <w:rsid w:val="0057588B"/>
    <w:rsid w:val="00575DF1"/>
    <w:rsid w:val="00576AFB"/>
    <w:rsid w:val="00577857"/>
    <w:rsid w:val="00580676"/>
    <w:rsid w:val="00581373"/>
    <w:rsid w:val="0058333B"/>
    <w:rsid w:val="00583399"/>
    <w:rsid w:val="005839DC"/>
    <w:rsid w:val="00583B1A"/>
    <w:rsid w:val="00584243"/>
    <w:rsid w:val="00585248"/>
    <w:rsid w:val="0058550B"/>
    <w:rsid w:val="00585D05"/>
    <w:rsid w:val="00587E38"/>
    <w:rsid w:val="005900E7"/>
    <w:rsid w:val="0059017D"/>
    <w:rsid w:val="005902AB"/>
    <w:rsid w:val="005913A5"/>
    <w:rsid w:val="005914A7"/>
    <w:rsid w:val="005919DE"/>
    <w:rsid w:val="00591E86"/>
    <w:rsid w:val="00591FFB"/>
    <w:rsid w:val="005920DC"/>
    <w:rsid w:val="00593FD2"/>
    <w:rsid w:val="00594751"/>
    <w:rsid w:val="00595012"/>
    <w:rsid w:val="005968F1"/>
    <w:rsid w:val="00596AE3"/>
    <w:rsid w:val="0059795E"/>
    <w:rsid w:val="00597A8B"/>
    <w:rsid w:val="005A0B5A"/>
    <w:rsid w:val="005A0F6F"/>
    <w:rsid w:val="005A12DD"/>
    <w:rsid w:val="005A1342"/>
    <w:rsid w:val="005A22B9"/>
    <w:rsid w:val="005A257D"/>
    <w:rsid w:val="005A28E2"/>
    <w:rsid w:val="005A2D59"/>
    <w:rsid w:val="005A34D2"/>
    <w:rsid w:val="005A386D"/>
    <w:rsid w:val="005A54F5"/>
    <w:rsid w:val="005A5EC0"/>
    <w:rsid w:val="005A606E"/>
    <w:rsid w:val="005A6D48"/>
    <w:rsid w:val="005A6E24"/>
    <w:rsid w:val="005A6E8E"/>
    <w:rsid w:val="005A7DB8"/>
    <w:rsid w:val="005B0D03"/>
    <w:rsid w:val="005B18A5"/>
    <w:rsid w:val="005B242C"/>
    <w:rsid w:val="005B2A2B"/>
    <w:rsid w:val="005B2D49"/>
    <w:rsid w:val="005B3ADD"/>
    <w:rsid w:val="005B44C2"/>
    <w:rsid w:val="005B4A1A"/>
    <w:rsid w:val="005B4B42"/>
    <w:rsid w:val="005B4EEA"/>
    <w:rsid w:val="005B607A"/>
    <w:rsid w:val="005B6222"/>
    <w:rsid w:val="005B6349"/>
    <w:rsid w:val="005B7BE7"/>
    <w:rsid w:val="005B7C12"/>
    <w:rsid w:val="005C0F1B"/>
    <w:rsid w:val="005C1516"/>
    <w:rsid w:val="005C1B4F"/>
    <w:rsid w:val="005C1CE6"/>
    <w:rsid w:val="005C25FB"/>
    <w:rsid w:val="005C2F56"/>
    <w:rsid w:val="005C6DD5"/>
    <w:rsid w:val="005C6EBF"/>
    <w:rsid w:val="005C7330"/>
    <w:rsid w:val="005C757E"/>
    <w:rsid w:val="005C78E0"/>
    <w:rsid w:val="005D079F"/>
    <w:rsid w:val="005D0AB3"/>
    <w:rsid w:val="005D16EC"/>
    <w:rsid w:val="005D205A"/>
    <w:rsid w:val="005D28A8"/>
    <w:rsid w:val="005D3F0F"/>
    <w:rsid w:val="005D435B"/>
    <w:rsid w:val="005D4830"/>
    <w:rsid w:val="005D4D30"/>
    <w:rsid w:val="005D4E1E"/>
    <w:rsid w:val="005D5066"/>
    <w:rsid w:val="005D5219"/>
    <w:rsid w:val="005D56F6"/>
    <w:rsid w:val="005D5C1D"/>
    <w:rsid w:val="005D5F41"/>
    <w:rsid w:val="005D6570"/>
    <w:rsid w:val="005D691F"/>
    <w:rsid w:val="005D715B"/>
    <w:rsid w:val="005E07F0"/>
    <w:rsid w:val="005E0EDD"/>
    <w:rsid w:val="005E1870"/>
    <w:rsid w:val="005E29D7"/>
    <w:rsid w:val="005E2C37"/>
    <w:rsid w:val="005E31C5"/>
    <w:rsid w:val="005E4C69"/>
    <w:rsid w:val="005E4E82"/>
    <w:rsid w:val="005E5318"/>
    <w:rsid w:val="005E6356"/>
    <w:rsid w:val="005E7745"/>
    <w:rsid w:val="005E7B78"/>
    <w:rsid w:val="005E7EE2"/>
    <w:rsid w:val="005E7F95"/>
    <w:rsid w:val="005F186B"/>
    <w:rsid w:val="005F205B"/>
    <w:rsid w:val="005F27AB"/>
    <w:rsid w:val="005F2D10"/>
    <w:rsid w:val="005F3105"/>
    <w:rsid w:val="005F320E"/>
    <w:rsid w:val="005F33F0"/>
    <w:rsid w:val="005F3768"/>
    <w:rsid w:val="005F4F27"/>
    <w:rsid w:val="005F53B2"/>
    <w:rsid w:val="005F5484"/>
    <w:rsid w:val="005F54B2"/>
    <w:rsid w:val="005F5BAF"/>
    <w:rsid w:val="005F6D99"/>
    <w:rsid w:val="005F6E34"/>
    <w:rsid w:val="005F73A2"/>
    <w:rsid w:val="005F7995"/>
    <w:rsid w:val="00600558"/>
    <w:rsid w:val="00600736"/>
    <w:rsid w:val="00600D7D"/>
    <w:rsid w:val="00601C92"/>
    <w:rsid w:val="00601D45"/>
    <w:rsid w:val="00602463"/>
    <w:rsid w:val="006029CD"/>
    <w:rsid w:val="0060488D"/>
    <w:rsid w:val="00604BF7"/>
    <w:rsid w:val="0060682D"/>
    <w:rsid w:val="00610D7A"/>
    <w:rsid w:val="00610EA3"/>
    <w:rsid w:val="006110FA"/>
    <w:rsid w:val="006117C0"/>
    <w:rsid w:val="00611AE2"/>
    <w:rsid w:val="0061259A"/>
    <w:rsid w:val="006133E2"/>
    <w:rsid w:val="0061360A"/>
    <w:rsid w:val="006139C7"/>
    <w:rsid w:val="00613A29"/>
    <w:rsid w:val="00613B2D"/>
    <w:rsid w:val="006158D6"/>
    <w:rsid w:val="00615C4B"/>
    <w:rsid w:val="00615F07"/>
    <w:rsid w:val="00617175"/>
    <w:rsid w:val="006176EA"/>
    <w:rsid w:val="00617D6F"/>
    <w:rsid w:val="00620630"/>
    <w:rsid w:val="006211AD"/>
    <w:rsid w:val="006223A7"/>
    <w:rsid w:val="00623E11"/>
    <w:rsid w:val="006246FF"/>
    <w:rsid w:val="0062599F"/>
    <w:rsid w:val="00625A42"/>
    <w:rsid w:val="00625EDF"/>
    <w:rsid w:val="00627294"/>
    <w:rsid w:val="00627EC4"/>
    <w:rsid w:val="006328E9"/>
    <w:rsid w:val="006334FC"/>
    <w:rsid w:val="006335E5"/>
    <w:rsid w:val="00633770"/>
    <w:rsid w:val="00634C0A"/>
    <w:rsid w:val="006358DC"/>
    <w:rsid w:val="00635D91"/>
    <w:rsid w:val="00637AAD"/>
    <w:rsid w:val="00637D18"/>
    <w:rsid w:val="00641798"/>
    <w:rsid w:val="00641B60"/>
    <w:rsid w:val="00642105"/>
    <w:rsid w:val="00642A68"/>
    <w:rsid w:val="00642F83"/>
    <w:rsid w:val="00643618"/>
    <w:rsid w:val="00643A23"/>
    <w:rsid w:val="006442D7"/>
    <w:rsid w:val="00644942"/>
    <w:rsid w:val="00644A33"/>
    <w:rsid w:val="00644A84"/>
    <w:rsid w:val="006464EC"/>
    <w:rsid w:val="006465CB"/>
    <w:rsid w:val="006525AD"/>
    <w:rsid w:val="00652971"/>
    <w:rsid w:val="00652F99"/>
    <w:rsid w:val="00653919"/>
    <w:rsid w:val="006555A0"/>
    <w:rsid w:val="0065581B"/>
    <w:rsid w:val="00655AED"/>
    <w:rsid w:val="006562E5"/>
    <w:rsid w:val="006565DE"/>
    <w:rsid w:val="006568CF"/>
    <w:rsid w:val="00660242"/>
    <w:rsid w:val="0066112B"/>
    <w:rsid w:val="0066169E"/>
    <w:rsid w:val="006618C2"/>
    <w:rsid w:val="00662F81"/>
    <w:rsid w:val="00663296"/>
    <w:rsid w:val="006634F3"/>
    <w:rsid w:val="00665525"/>
    <w:rsid w:val="006660BC"/>
    <w:rsid w:val="0066669B"/>
    <w:rsid w:val="00667248"/>
    <w:rsid w:val="00670219"/>
    <w:rsid w:val="006707BC"/>
    <w:rsid w:val="00670DF8"/>
    <w:rsid w:val="00671273"/>
    <w:rsid w:val="006713BF"/>
    <w:rsid w:val="00672DA8"/>
    <w:rsid w:val="00673B90"/>
    <w:rsid w:val="00673D5C"/>
    <w:rsid w:val="0067458F"/>
    <w:rsid w:val="00674B61"/>
    <w:rsid w:val="006771B3"/>
    <w:rsid w:val="006800BD"/>
    <w:rsid w:val="00680219"/>
    <w:rsid w:val="00681032"/>
    <w:rsid w:val="00681BB2"/>
    <w:rsid w:val="00681CD7"/>
    <w:rsid w:val="00682454"/>
    <w:rsid w:val="0068276B"/>
    <w:rsid w:val="00682845"/>
    <w:rsid w:val="00682E01"/>
    <w:rsid w:val="006830FA"/>
    <w:rsid w:val="00683DA1"/>
    <w:rsid w:val="00685201"/>
    <w:rsid w:val="00686361"/>
    <w:rsid w:val="00686C5F"/>
    <w:rsid w:val="0069126D"/>
    <w:rsid w:val="00691F1C"/>
    <w:rsid w:val="00693489"/>
    <w:rsid w:val="00695B65"/>
    <w:rsid w:val="006963FF"/>
    <w:rsid w:val="00696598"/>
    <w:rsid w:val="00697354"/>
    <w:rsid w:val="006A110B"/>
    <w:rsid w:val="006A2367"/>
    <w:rsid w:val="006A283B"/>
    <w:rsid w:val="006A34A1"/>
    <w:rsid w:val="006A3EBC"/>
    <w:rsid w:val="006A4434"/>
    <w:rsid w:val="006A4F96"/>
    <w:rsid w:val="006A5409"/>
    <w:rsid w:val="006A5943"/>
    <w:rsid w:val="006A59E0"/>
    <w:rsid w:val="006A6B43"/>
    <w:rsid w:val="006A7091"/>
    <w:rsid w:val="006B047A"/>
    <w:rsid w:val="006B0998"/>
    <w:rsid w:val="006B0C36"/>
    <w:rsid w:val="006B2D2C"/>
    <w:rsid w:val="006B2D93"/>
    <w:rsid w:val="006B32DB"/>
    <w:rsid w:val="006B39A2"/>
    <w:rsid w:val="006B3FDB"/>
    <w:rsid w:val="006B404D"/>
    <w:rsid w:val="006B5C26"/>
    <w:rsid w:val="006B5ED8"/>
    <w:rsid w:val="006B62CD"/>
    <w:rsid w:val="006B683A"/>
    <w:rsid w:val="006B698D"/>
    <w:rsid w:val="006B6EB0"/>
    <w:rsid w:val="006B707F"/>
    <w:rsid w:val="006B762F"/>
    <w:rsid w:val="006B7948"/>
    <w:rsid w:val="006B798D"/>
    <w:rsid w:val="006C0342"/>
    <w:rsid w:val="006C096D"/>
    <w:rsid w:val="006C0E69"/>
    <w:rsid w:val="006C155A"/>
    <w:rsid w:val="006C2906"/>
    <w:rsid w:val="006C32B3"/>
    <w:rsid w:val="006C37FC"/>
    <w:rsid w:val="006C488C"/>
    <w:rsid w:val="006C5174"/>
    <w:rsid w:val="006C5C25"/>
    <w:rsid w:val="006C6709"/>
    <w:rsid w:val="006C7196"/>
    <w:rsid w:val="006C731C"/>
    <w:rsid w:val="006C7B46"/>
    <w:rsid w:val="006C7C47"/>
    <w:rsid w:val="006C7F29"/>
    <w:rsid w:val="006D1459"/>
    <w:rsid w:val="006D1551"/>
    <w:rsid w:val="006D1C33"/>
    <w:rsid w:val="006D2389"/>
    <w:rsid w:val="006D29FC"/>
    <w:rsid w:val="006D2D09"/>
    <w:rsid w:val="006D48B0"/>
    <w:rsid w:val="006E08E7"/>
    <w:rsid w:val="006E0976"/>
    <w:rsid w:val="006E13A7"/>
    <w:rsid w:val="006E16DE"/>
    <w:rsid w:val="006E1E4E"/>
    <w:rsid w:val="006E214E"/>
    <w:rsid w:val="006E2374"/>
    <w:rsid w:val="006E39D4"/>
    <w:rsid w:val="006E54BF"/>
    <w:rsid w:val="006E6A4A"/>
    <w:rsid w:val="006E72C5"/>
    <w:rsid w:val="006E77BE"/>
    <w:rsid w:val="006E7980"/>
    <w:rsid w:val="006F10C1"/>
    <w:rsid w:val="006F1DFE"/>
    <w:rsid w:val="006F2839"/>
    <w:rsid w:val="006F2F8A"/>
    <w:rsid w:val="006F32F4"/>
    <w:rsid w:val="006F3973"/>
    <w:rsid w:val="006F3A92"/>
    <w:rsid w:val="006F4435"/>
    <w:rsid w:val="006F4BF7"/>
    <w:rsid w:val="006F4D46"/>
    <w:rsid w:val="006F4D5E"/>
    <w:rsid w:val="006F4DBD"/>
    <w:rsid w:val="006F55D4"/>
    <w:rsid w:val="006F6590"/>
    <w:rsid w:val="006F6800"/>
    <w:rsid w:val="006F6B65"/>
    <w:rsid w:val="006F6EEB"/>
    <w:rsid w:val="006F7151"/>
    <w:rsid w:val="006F7EB3"/>
    <w:rsid w:val="00700712"/>
    <w:rsid w:val="00701176"/>
    <w:rsid w:val="007019B9"/>
    <w:rsid w:val="00701A9E"/>
    <w:rsid w:val="0070222F"/>
    <w:rsid w:val="0070228A"/>
    <w:rsid w:val="0070234E"/>
    <w:rsid w:val="00702AB5"/>
    <w:rsid w:val="0070309E"/>
    <w:rsid w:val="00703616"/>
    <w:rsid w:val="007036B5"/>
    <w:rsid w:val="00703CEC"/>
    <w:rsid w:val="00704437"/>
    <w:rsid w:val="007047A0"/>
    <w:rsid w:val="007048EC"/>
    <w:rsid w:val="007052B1"/>
    <w:rsid w:val="00706CB1"/>
    <w:rsid w:val="00707818"/>
    <w:rsid w:val="00710174"/>
    <w:rsid w:val="0071036A"/>
    <w:rsid w:val="007104BD"/>
    <w:rsid w:val="0071147D"/>
    <w:rsid w:val="00711560"/>
    <w:rsid w:val="007118F1"/>
    <w:rsid w:val="0071322C"/>
    <w:rsid w:val="007143EF"/>
    <w:rsid w:val="00715106"/>
    <w:rsid w:val="007152E7"/>
    <w:rsid w:val="00715315"/>
    <w:rsid w:val="00715B2A"/>
    <w:rsid w:val="00715B71"/>
    <w:rsid w:val="00716B3E"/>
    <w:rsid w:val="00717099"/>
    <w:rsid w:val="007211BA"/>
    <w:rsid w:val="00721DEF"/>
    <w:rsid w:val="00721E51"/>
    <w:rsid w:val="00723A33"/>
    <w:rsid w:val="007243A6"/>
    <w:rsid w:val="007244EC"/>
    <w:rsid w:val="00724C48"/>
    <w:rsid w:val="00724CF0"/>
    <w:rsid w:val="00725660"/>
    <w:rsid w:val="00725CC7"/>
    <w:rsid w:val="00726B6F"/>
    <w:rsid w:val="00727309"/>
    <w:rsid w:val="0072753B"/>
    <w:rsid w:val="00727D02"/>
    <w:rsid w:val="0073051A"/>
    <w:rsid w:val="007306A2"/>
    <w:rsid w:val="00730A15"/>
    <w:rsid w:val="00730B30"/>
    <w:rsid w:val="00731927"/>
    <w:rsid w:val="007320BA"/>
    <w:rsid w:val="007320C6"/>
    <w:rsid w:val="00732475"/>
    <w:rsid w:val="007337EA"/>
    <w:rsid w:val="00734524"/>
    <w:rsid w:val="007347D1"/>
    <w:rsid w:val="00735A5F"/>
    <w:rsid w:val="00736C17"/>
    <w:rsid w:val="00736E33"/>
    <w:rsid w:val="00737B0C"/>
    <w:rsid w:val="007409C0"/>
    <w:rsid w:val="00740E80"/>
    <w:rsid w:val="00740F0D"/>
    <w:rsid w:val="00740FA3"/>
    <w:rsid w:val="0074253B"/>
    <w:rsid w:val="00742ECE"/>
    <w:rsid w:val="007445B0"/>
    <w:rsid w:val="007450A6"/>
    <w:rsid w:val="007454FA"/>
    <w:rsid w:val="00745807"/>
    <w:rsid w:val="00745B51"/>
    <w:rsid w:val="00745C00"/>
    <w:rsid w:val="00745C2F"/>
    <w:rsid w:val="00745CD2"/>
    <w:rsid w:val="0074723E"/>
    <w:rsid w:val="007477B4"/>
    <w:rsid w:val="00750197"/>
    <w:rsid w:val="00750595"/>
    <w:rsid w:val="00751C02"/>
    <w:rsid w:val="00752160"/>
    <w:rsid w:val="0075294A"/>
    <w:rsid w:val="00752B01"/>
    <w:rsid w:val="0075402E"/>
    <w:rsid w:val="00754090"/>
    <w:rsid w:val="00754CF8"/>
    <w:rsid w:val="00754DA6"/>
    <w:rsid w:val="007562B6"/>
    <w:rsid w:val="00756301"/>
    <w:rsid w:val="00756777"/>
    <w:rsid w:val="007571AE"/>
    <w:rsid w:val="007573A3"/>
    <w:rsid w:val="00760B8B"/>
    <w:rsid w:val="00760CD9"/>
    <w:rsid w:val="00760CDF"/>
    <w:rsid w:val="0076205C"/>
    <w:rsid w:val="00762B90"/>
    <w:rsid w:val="00763162"/>
    <w:rsid w:val="00763589"/>
    <w:rsid w:val="00763706"/>
    <w:rsid w:val="0076392E"/>
    <w:rsid w:val="00763D6C"/>
    <w:rsid w:val="00764E6D"/>
    <w:rsid w:val="007653BF"/>
    <w:rsid w:val="00765DEA"/>
    <w:rsid w:val="0076740F"/>
    <w:rsid w:val="00767E24"/>
    <w:rsid w:val="007704DC"/>
    <w:rsid w:val="00770557"/>
    <w:rsid w:val="00771F80"/>
    <w:rsid w:val="0077214C"/>
    <w:rsid w:val="00772614"/>
    <w:rsid w:val="00772E72"/>
    <w:rsid w:val="00772F49"/>
    <w:rsid w:val="007735A2"/>
    <w:rsid w:val="00774107"/>
    <w:rsid w:val="00775AC0"/>
    <w:rsid w:val="00777C20"/>
    <w:rsid w:val="007800A8"/>
    <w:rsid w:val="007802EA"/>
    <w:rsid w:val="0078065D"/>
    <w:rsid w:val="00780AC2"/>
    <w:rsid w:val="00780E2B"/>
    <w:rsid w:val="00780F1C"/>
    <w:rsid w:val="00782A6E"/>
    <w:rsid w:val="0078347C"/>
    <w:rsid w:val="00783A8C"/>
    <w:rsid w:val="00783AE5"/>
    <w:rsid w:val="00783B60"/>
    <w:rsid w:val="00783E57"/>
    <w:rsid w:val="00783F42"/>
    <w:rsid w:val="00784269"/>
    <w:rsid w:val="007849EE"/>
    <w:rsid w:val="0078572E"/>
    <w:rsid w:val="00785BE1"/>
    <w:rsid w:val="007860E3"/>
    <w:rsid w:val="00786529"/>
    <w:rsid w:val="00786F6C"/>
    <w:rsid w:val="00787FA8"/>
    <w:rsid w:val="0079010B"/>
    <w:rsid w:val="00790175"/>
    <w:rsid w:val="0079209A"/>
    <w:rsid w:val="00792472"/>
    <w:rsid w:val="00792A42"/>
    <w:rsid w:val="00792C6A"/>
    <w:rsid w:val="007948F7"/>
    <w:rsid w:val="00794CF6"/>
    <w:rsid w:val="00795CF8"/>
    <w:rsid w:val="0079717C"/>
    <w:rsid w:val="00797731"/>
    <w:rsid w:val="00797C65"/>
    <w:rsid w:val="007A1DB3"/>
    <w:rsid w:val="007A211D"/>
    <w:rsid w:val="007A2AA7"/>
    <w:rsid w:val="007A2BF7"/>
    <w:rsid w:val="007A463A"/>
    <w:rsid w:val="007A46F6"/>
    <w:rsid w:val="007A4709"/>
    <w:rsid w:val="007A47AF"/>
    <w:rsid w:val="007A48AD"/>
    <w:rsid w:val="007A4EE7"/>
    <w:rsid w:val="007A5EF8"/>
    <w:rsid w:val="007A6DDD"/>
    <w:rsid w:val="007B05E1"/>
    <w:rsid w:val="007B0DB4"/>
    <w:rsid w:val="007B0F9D"/>
    <w:rsid w:val="007B14C0"/>
    <w:rsid w:val="007B17A7"/>
    <w:rsid w:val="007B1EB3"/>
    <w:rsid w:val="007B1EF8"/>
    <w:rsid w:val="007B1F49"/>
    <w:rsid w:val="007B229E"/>
    <w:rsid w:val="007B2B25"/>
    <w:rsid w:val="007B2E7B"/>
    <w:rsid w:val="007B2E9D"/>
    <w:rsid w:val="007B3140"/>
    <w:rsid w:val="007B38F1"/>
    <w:rsid w:val="007B40C6"/>
    <w:rsid w:val="007B7665"/>
    <w:rsid w:val="007B7DAD"/>
    <w:rsid w:val="007C1157"/>
    <w:rsid w:val="007C1279"/>
    <w:rsid w:val="007C2052"/>
    <w:rsid w:val="007C5530"/>
    <w:rsid w:val="007C5DA2"/>
    <w:rsid w:val="007C5F1C"/>
    <w:rsid w:val="007C5F40"/>
    <w:rsid w:val="007C61BB"/>
    <w:rsid w:val="007C7845"/>
    <w:rsid w:val="007C7929"/>
    <w:rsid w:val="007C7BA6"/>
    <w:rsid w:val="007D1317"/>
    <w:rsid w:val="007D15FA"/>
    <w:rsid w:val="007D2448"/>
    <w:rsid w:val="007D2557"/>
    <w:rsid w:val="007D25D7"/>
    <w:rsid w:val="007D29B2"/>
    <w:rsid w:val="007D364E"/>
    <w:rsid w:val="007D406D"/>
    <w:rsid w:val="007D4141"/>
    <w:rsid w:val="007D4E58"/>
    <w:rsid w:val="007D4F44"/>
    <w:rsid w:val="007D5A1C"/>
    <w:rsid w:val="007D5FDE"/>
    <w:rsid w:val="007D6FE1"/>
    <w:rsid w:val="007D73EE"/>
    <w:rsid w:val="007E0B35"/>
    <w:rsid w:val="007E0ED7"/>
    <w:rsid w:val="007E1066"/>
    <w:rsid w:val="007E1F1D"/>
    <w:rsid w:val="007E2DD9"/>
    <w:rsid w:val="007E31A4"/>
    <w:rsid w:val="007E3325"/>
    <w:rsid w:val="007E36D9"/>
    <w:rsid w:val="007E5B3B"/>
    <w:rsid w:val="007E6206"/>
    <w:rsid w:val="007E651E"/>
    <w:rsid w:val="007E73EE"/>
    <w:rsid w:val="007E799F"/>
    <w:rsid w:val="007F1DB6"/>
    <w:rsid w:val="007F243B"/>
    <w:rsid w:val="007F25AE"/>
    <w:rsid w:val="007F2918"/>
    <w:rsid w:val="007F3308"/>
    <w:rsid w:val="007F3FFB"/>
    <w:rsid w:val="007F49EC"/>
    <w:rsid w:val="007F55DA"/>
    <w:rsid w:val="007F6676"/>
    <w:rsid w:val="007F6A4A"/>
    <w:rsid w:val="007F795E"/>
    <w:rsid w:val="007F7C19"/>
    <w:rsid w:val="007F7D25"/>
    <w:rsid w:val="008009C0"/>
    <w:rsid w:val="008012E6"/>
    <w:rsid w:val="00801309"/>
    <w:rsid w:val="00801991"/>
    <w:rsid w:val="00801EE5"/>
    <w:rsid w:val="008020F4"/>
    <w:rsid w:val="008023B2"/>
    <w:rsid w:val="008029C7"/>
    <w:rsid w:val="00803821"/>
    <w:rsid w:val="0080518B"/>
    <w:rsid w:val="008055C1"/>
    <w:rsid w:val="00806F13"/>
    <w:rsid w:val="00806FA2"/>
    <w:rsid w:val="008072FE"/>
    <w:rsid w:val="008073EC"/>
    <w:rsid w:val="0080785B"/>
    <w:rsid w:val="00807A59"/>
    <w:rsid w:val="008115FC"/>
    <w:rsid w:val="00812178"/>
    <w:rsid w:val="00813260"/>
    <w:rsid w:val="0081360E"/>
    <w:rsid w:val="00813E1D"/>
    <w:rsid w:val="008140B7"/>
    <w:rsid w:val="008142D9"/>
    <w:rsid w:val="00815D42"/>
    <w:rsid w:val="008166FC"/>
    <w:rsid w:val="00816CFE"/>
    <w:rsid w:val="00816E9C"/>
    <w:rsid w:val="00816FC5"/>
    <w:rsid w:val="00817252"/>
    <w:rsid w:val="00817ABB"/>
    <w:rsid w:val="00817D91"/>
    <w:rsid w:val="00820412"/>
    <w:rsid w:val="008208E8"/>
    <w:rsid w:val="00820F9B"/>
    <w:rsid w:val="00821B51"/>
    <w:rsid w:val="00821C2F"/>
    <w:rsid w:val="008227D4"/>
    <w:rsid w:val="00822A76"/>
    <w:rsid w:val="008231E3"/>
    <w:rsid w:val="00823388"/>
    <w:rsid w:val="00823490"/>
    <w:rsid w:val="00823C7C"/>
    <w:rsid w:val="00823FF6"/>
    <w:rsid w:val="00824794"/>
    <w:rsid w:val="008247A9"/>
    <w:rsid w:val="00825277"/>
    <w:rsid w:val="00825373"/>
    <w:rsid w:val="008253DA"/>
    <w:rsid w:val="00825F30"/>
    <w:rsid w:val="0082655E"/>
    <w:rsid w:val="00826A9B"/>
    <w:rsid w:val="00826F6B"/>
    <w:rsid w:val="008272CC"/>
    <w:rsid w:val="008275E7"/>
    <w:rsid w:val="00827B44"/>
    <w:rsid w:val="00827EF5"/>
    <w:rsid w:val="00830B8F"/>
    <w:rsid w:val="00830C79"/>
    <w:rsid w:val="00832B6D"/>
    <w:rsid w:val="00833C54"/>
    <w:rsid w:val="00833CFC"/>
    <w:rsid w:val="00835147"/>
    <w:rsid w:val="00835685"/>
    <w:rsid w:val="008357BE"/>
    <w:rsid w:val="00835C26"/>
    <w:rsid w:val="008360D4"/>
    <w:rsid w:val="008364C2"/>
    <w:rsid w:val="00840B0D"/>
    <w:rsid w:val="008410D0"/>
    <w:rsid w:val="0084135F"/>
    <w:rsid w:val="00841823"/>
    <w:rsid w:val="008418BA"/>
    <w:rsid w:val="0084229D"/>
    <w:rsid w:val="0084254E"/>
    <w:rsid w:val="00842F17"/>
    <w:rsid w:val="00843534"/>
    <w:rsid w:val="00843BF1"/>
    <w:rsid w:val="008445C9"/>
    <w:rsid w:val="008455D2"/>
    <w:rsid w:val="00845E8E"/>
    <w:rsid w:val="008461EC"/>
    <w:rsid w:val="008464A6"/>
    <w:rsid w:val="00846675"/>
    <w:rsid w:val="0084751F"/>
    <w:rsid w:val="00847566"/>
    <w:rsid w:val="008477BB"/>
    <w:rsid w:val="00847E4F"/>
    <w:rsid w:val="00850C8F"/>
    <w:rsid w:val="00851AB2"/>
    <w:rsid w:val="008520CF"/>
    <w:rsid w:val="0085219D"/>
    <w:rsid w:val="00853980"/>
    <w:rsid w:val="008545E0"/>
    <w:rsid w:val="00854721"/>
    <w:rsid w:val="0085568C"/>
    <w:rsid w:val="008564BA"/>
    <w:rsid w:val="0085671A"/>
    <w:rsid w:val="008569CA"/>
    <w:rsid w:val="00856B2C"/>
    <w:rsid w:val="00857F1F"/>
    <w:rsid w:val="00860141"/>
    <w:rsid w:val="00860BCF"/>
    <w:rsid w:val="00860CB8"/>
    <w:rsid w:val="00861364"/>
    <w:rsid w:val="00861B50"/>
    <w:rsid w:val="00861DD1"/>
    <w:rsid w:val="00861DE7"/>
    <w:rsid w:val="00861E60"/>
    <w:rsid w:val="00862A9A"/>
    <w:rsid w:val="0086330E"/>
    <w:rsid w:val="008637E0"/>
    <w:rsid w:val="008639CE"/>
    <w:rsid w:val="00863F83"/>
    <w:rsid w:val="00864048"/>
    <w:rsid w:val="00864803"/>
    <w:rsid w:val="00864935"/>
    <w:rsid w:val="00864D2F"/>
    <w:rsid w:val="00865643"/>
    <w:rsid w:val="00867236"/>
    <w:rsid w:val="00867C15"/>
    <w:rsid w:val="00870B6D"/>
    <w:rsid w:val="00871359"/>
    <w:rsid w:val="00871AA0"/>
    <w:rsid w:val="00871ECA"/>
    <w:rsid w:val="00872A0C"/>
    <w:rsid w:val="00872CFB"/>
    <w:rsid w:val="00874868"/>
    <w:rsid w:val="00874B8F"/>
    <w:rsid w:val="0087511E"/>
    <w:rsid w:val="0087611E"/>
    <w:rsid w:val="008768DD"/>
    <w:rsid w:val="00877EE8"/>
    <w:rsid w:val="00877F6F"/>
    <w:rsid w:val="008801FC"/>
    <w:rsid w:val="0088043B"/>
    <w:rsid w:val="008807D3"/>
    <w:rsid w:val="00881114"/>
    <w:rsid w:val="008814FE"/>
    <w:rsid w:val="00881AF5"/>
    <w:rsid w:val="008829C5"/>
    <w:rsid w:val="0088391A"/>
    <w:rsid w:val="008839B0"/>
    <w:rsid w:val="00883A93"/>
    <w:rsid w:val="00883C06"/>
    <w:rsid w:val="00884632"/>
    <w:rsid w:val="00885935"/>
    <w:rsid w:val="008860C0"/>
    <w:rsid w:val="008869A1"/>
    <w:rsid w:val="00890F00"/>
    <w:rsid w:val="00891FB7"/>
    <w:rsid w:val="008922A3"/>
    <w:rsid w:val="00892440"/>
    <w:rsid w:val="00892778"/>
    <w:rsid w:val="00892948"/>
    <w:rsid w:val="00893C5F"/>
    <w:rsid w:val="0089445E"/>
    <w:rsid w:val="00894900"/>
    <w:rsid w:val="00895751"/>
    <w:rsid w:val="00895861"/>
    <w:rsid w:val="00896EE5"/>
    <w:rsid w:val="008A04D8"/>
    <w:rsid w:val="008A0F3E"/>
    <w:rsid w:val="008A1214"/>
    <w:rsid w:val="008A1217"/>
    <w:rsid w:val="008A1246"/>
    <w:rsid w:val="008A1774"/>
    <w:rsid w:val="008A1CF0"/>
    <w:rsid w:val="008A25C4"/>
    <w:rsid w:val="008A2B75"/>
    <w:rsid w:val="008A42F6"/>
    <w:rsid w:val="008A4734"/>
    <w:rsid w:val="008A7A6A"/>
    <w:rsid w:val="008B07A1"/>
    <w:rsid w:val="008B0E72"/>
    <w:rsid w:val="008B15C6"/>
    <w:rsid w:val="008B179F"/>
    <w:rsid w:val="008B22A3"/>
    <w:rsid w:val="008B2488"/>
    <w:rsid w:val="008B2B54"/>
    <w:rsid w:val="008B2D57"/>
    <w:rsid w:val="008B2F81"/>
    <w:rsid w:val="008B3BA6"/>
    <w:rsid w:val="008B4B29"/>
    <w:rsid w:val="008B4E1F"/>
    <w:rsid w:val="008B508E"/>
    <w:rsid w:val="008B5946"/>
    <w:rsid w:val="008B6A33"/>
    <w:rsid w:val="008B6F94"/>
    <w:rsid w:val="008B7832"/>
    <w:rsid w:val="008B7F9C"/>
    <w:rsid w:val="008C0AC4"/>
    <w:rsid w:val="008C1819"/>
    <w:rsid w:val="008C1B43"/>
    <w:rsid w:val="008C2B25"/>
    <w:rsid w:val="008C2C53"/>
    <w:rsid w:val="008C441B"/>
    <w:rsid w:val="008C5791"/>
    <w:rsid w:val="008C6831"/>
    <w:rsid w:val="008C694A"/>
    <w:rsid w:val="008C7242"/>
    <w:rsid w:val="008C730F"/>
    <w:rsid w:val="008D1384"/>
    <w:rsid w:val="008D16CA"/>
    <w:rsid w:val="008D1DCA"/>
    <w:rsid w:val="008D2469"/>
    <w:rsid w:val="008D25B1"/>
    <w:rsid w:val="008D34DD"/>
    <w:rsid w:val="008D3F73"/>
    <w:rsid w:val="008D412A"/>
    <w:rsid w:val="008D4149"/>
    <w:rsid w:val="008D41F8"/>
    <w:rsid w:val="008D4BA0"/>
    <w:rsid w:val="008D549A"/>
    <w:rsid w:val="008D6100"/>
    <w:rsid w:val="008D61A2"/>
    <w:rsid w:val="008D69AC"/>
    <w:rsid w:val="008D7573"/>
    <w:rsid w:val="008D78BF"/>
    <w:rsid w:val="008D7AF3"/>
    <w:rsid w:val="008E3EC3"/>
    <w:rsid w:val="008E4263"/>
    <w:rsid w:val="008E48FC"/>
    <w:rsid w:val="008E4C56"/>
    <w:rsid w:val="008E548A"/>
    <w:rsid w:val="008E59CD"/>
    <w:rsid w:val="008E67CA"/>
    <w:rsid w:val="008E71D6"/>
    <w:rsid w:val="008E7AD7"/>
    <w:rsid w:val="008F06B3"/>
    <w:rsid w:val="008F1ADC"/>
    <w:rsid w:val="008F2094"/>
    <w:rsid w:val="008F331C"/>
    <w:rsid w:val="008F34C8"/>
    <w:rsid w:val="008F4F53"/>
    <w:rsid w:val="008F5026"/>
    <w:rsid w:val="008F591E"/>
    <w:rsid w:val="008F59D5"/>
    <w:rsid w:val="008F5DD7"/>
    <w:rsid w:val="008F6A42"/>
    <w:rsid w:val="008F73E2"/>
    <w:rsid w:val="008F7E82"/>
    <w:rsid w:val="009010C7"/>
    <w:rsid w:val="00902511"/>
    <w:rsid w:val="00904BE3"/>
    <w:rsid w:val="00906005"/>
    <w:rsid w:val="0090673A"/>
    <w:rsid w:val="00906A9C"/>
    <w:rsid w:val="009070F1"/>
    <w:rsid w:val="009073E5"/>
    <w:rsid w:val="00910148"/>
    <w:rsid w:val="009104B4"/>
    <w:rsid w:val="009109D2"/>
    <w:rsid w:val="00910A33"/>
    <w:rsid w:val="00911226"/>
    <w:rsid w:val="00911F67"/>
    <w:rsid w:val="0091255F"/>
    <w:rsid w:val="00912CD3"/>
    <w:rsid w:val="00914293"/>
    <w:rsid w:val="009146A9"/>
    <w:rsid w:val="00914CD0"/>
    <w:rsid w:val="00915476"/>
    <w:rsid w:val="00915EB8"/>
    <w:rsid w:val="0091600D"/>
    <w:rsid w:val="0091637C"/>
    <w:rsid w:val="0091684C"/>
    <w:rsid w:val="00916EBB"/>
    <w:rsid w:val="0092037C"/>
    <w:rsid w:val="009206EE"/>
    <w:rsid w:val="009219FA"/>
    <w:rsid w:val="009220E7"/>
    <w:rsid w:val="009223AC"/>
    <w:rsid w:val="00922F63"/>
    <w:rsid w:val="00924664"/>
    <w:rsid w:val="009253AB"/>
    <w:rsid w:val="00925B05"/>
    <w:rsid w:val="009260CB"/>
    <w:rsid w:val="009268C1"/>
    <w:rsid w:val="00926B86"/>
    <w:rsid w:val="0092751D"/>
    <w:rsid w:val="00927CD3"/>
    <w:rsid w:val="009303A2"/>
    <w:rsid w:val="009306F3"/>
    <w:rsid w:val="00930B43"/>
    <w:rsid w:val="0093287B"/>
    <w:rsid w:val="009330F2"/>
    <w:rsid w:val="00933D70"/>
    <w:rsid w:val="00935339"/>
    <w:rsid w:val="0093539E"/>
    <w:rsid w:val="009357B7"/>
    <w:rsid w:val="00936689"/>
    <w:rsid w:val="00936944"/>
    <w:rsid w:val="00936F8A"/>
    <w:rsid w:val="00937084"/>
    <w:rsid w:val="00937B84"/>
    <w:rsid w:val="00937F14"/>
    <w:rsid w:val="0094077B"/>
    <w:rsid w:val="00940FC2"/>
    <w:rsid w:val="00943868"/>
    <w:rsid w:val="00943F3E"/>
    <w:rsid w:val="00944122"/>
    <w:rsid w:val="00944A62"/>
    <w:rsid w:val="00944B4E"/>
    <w:rsid w:val="009458AD"/>
    <w:rsid w:val="00945BB8"/>
    <w:rsid w:val="00946C39"/>
    <w:rsid w:val="00947772"/>
    <w:rsid w:val="009501F5"/>
    <w:rsid w:val="00950A65"/>
    <w:rsid w:val="00950E39"/>
    <w:rsid w:val="00950ED7"/>
    <w:rsid w:val="00950F2B"/>
    <w:rsid w:val="0095122D"/>
    <w:rsid w:val="00951D01"/>
    <w:rsid w:val="0095243E"/>
    <w:rsid w:val="009549B8"/>
    <w:rsid w:val="00954B73"/>
    <w:rsid w:val="00954BCA"/>
    <w:rsid w:val="00955515"/>
    <w:rsid w:val="00955ABC"/>
    <w:rsid w:val="009560E3"/>
    <w:rsid w:val="00957221"/>
    <w:rsid w:val="00957C32"/>
    <w:rsid w:val="00957FC2"/>
    <w:rsid w:val="009602F0"/>
    <w:rsid w:val="00960766"/>
    <w:rsid w:val="00960986"/>
    <w:rsid w:val="00960D2B"/>
    <w:rsid w:val="00960EBD"/>
    <w:rsid w:val="00960EC2"/>
    <w:rsid w:val="0096171D"/>
    <w:rsid w:val="009620D5"/>
    <w:rsid w:val="00962E50"/>
    <w:rsid w:val="0096383F"/>
    <w:rsid w:val="0096584B"/>
    <w:rsid w:val="009659BB"/>
    <w:rsid w:val="00966EA1"/>
    <w:rsid w:val="00966FA0"/>
    <w:rsid w:val="0096777C"/>
    <w:rsid w:val="0097055B"/>
    <w:rsid w:val="00970CEC"/>
    <w:rsid w:val="00970F8C"/>
    <w:rsid w:val="00970FCF"/>
    <w:rsid w:val="00971176"/>
    <w:rsid w:val="00971C72"/>
    <w:rsid w:val="00973480"/>
    <w:rsid w:val="009735F3"/>
    <w:rsid w:val="00973CAF"/>
    <w:rsid w:val="00973DAA"/>
    <w:rsid w:val="00975023"/>
    <w:rsid w:val="009758D7"/>
    <w:rsid w:val="009761DB"/>
    <w:rsid w:val="0097674A"/>
    <w:rsid w:val="00976C3B"/>
    <w:rsid w:val="00977762"/>
    <w:rsid w:val="00977BD1"/>
    <w:rsid w:val="00977EB1"/>
    <w:rsid w:val="0098026F"/>
    <w:rsid w:val="0098067E"/>
    <w:rsid w:val="00980BFC"/>
    <w:rsid w:val="00981368"/>
    <w:rsid w:val="0098382E"/>
    <w:rsid w:val="0098422B"/>
    <w:rsid w:val="00985039"/>
    <w:rsid w:val="0098539B"/>
    <w:rsid w:val="00986219"/>
    <w:rsid w:val="00986D4D"/>
    <w:rsid w:val="00986F79"/>
    <w:rsid w:val="00987712"/>
    <w:rsid w:val="00987B32"/>
    <w:rsid w:val="00990B79"/>
    <w:rsid w:val="0099104C"/>
    <w:rsid w:val="00992322"/>
    <w:rsid w:val="00992336"/>
    <w:rsid w:val="00992466"/>
    <w:rsid w:val="00992B0A"/>
    <w:rsid w:val="00992E33"/>
    <w:rsid w:val="009941BA"/>
    <w:rsid w:val="00994A81"/>
    <w:rsid w:val="009952E4"/>
    <w:rsid w:val="009954DF"/>
    <w:rsid w:val="0099616B"/>
    <w:rsid w:val="009962C9"/>
    <w:rsid w:val="00997D87"/>
    <w:rsid w:val="00997F74"/>
    <w:rsid w:val="009A022C"/>
    <w:rsid w:val="009A1455"/>
    <w:rsid w:val="009A18AD"/>
    <w:rsid w:val="009A1AEF"/>
    <w:rsid w:val="009A2254"/>
    <w:rsid w:val="009A305B"/>
    <w:rsid w:val="009A3480"/>
    <w:rsid w:val="009A3FEE"/>
    <w:rsid w:val="009A407D"/>
    <w:rsid w:val="009A4464"/>
    <w:rsid w:val="009A49A3"/>
    <w:rsid w:val="009A49C9"/>
    <w:rsid w:val="009A5D82"/>
    <w:rsid w:val="009A5E81"/>
    <w:rsid w:val="009A5EC3"/>
    <w:rsid w:val="009A5F51"/>
    <w:rsid w:val="009A6174"/>
    <w:rsid w:val="009A621C"/>
    <w:rsid w:val="009A6B9C"/>
    <w:rsid w:val="009A6D92"/>
    <w:rsid w:val="009A6FC1"/>
    <w:rsid w:val="009A7408"/>
    <w:rsid w:val="009A7598"/>
    <w:rsid w:val="009A7868"/>
    <w:rsid w:val="009B0878"/>
    <w:rsid w:val="009B3188"/>
    <w:rsid w:val="009B3490"/>
    <w:rsid w:val="009B42E4"/>
    <w:rsid w:val="009B4C73"/>
    <w:rsid w:val="009B5325"/>
    <w:rsid w:val="009B5390"/>
    <w:rsid w:val="009C1AAD"/>
    <w:rsid w:val="009C1F1A"/>
    <w:rsid w:val="009C327C"/>
    <w:rsid w:val="009C4CF1"/>
    <w:rsid w:val="009C4DC2"/>
    <w:rsid w:val="009C535D"/>
    <w:rsid w:val="009C54F9"/>
    <w:rsid w:val="009C567C"/>
    <w:rsid w:val="009C5AA5"/>
    <w:rsid w:val="009C623C"/>
    <w:rsid w:val="009C657B"/>
    <w:rsid w:val="009C6856"/>
    <w:rsid w:val="009C6C01"/>
    <w:rsid w:val="009C6DA7"/>
    <w:rsid w:val="009C6E1B"/>
    <w:rsid w:val="009C735D"/>
    <w:rsid w:val="009C73EA"/>
    <w:rsid w:val="009C7764"/>
    <w:rsid w:val="009C77F7"/>
    <w:rsid w:val="009D02C6"/>
    <w:rsid w:val="009D1419"/>
    <w:rsid w:val="009D2C92"/>
    <w:rsid w:val="009D41C9"/>
    <w:rsid w:val="009D5592"/>
    <w:rsid w:val="009D724E"/>
    <w:rsid w:val="009D74D1"/>
    <w:rsid w:val="009D752E"/>
    <w:rsid w:val="009E0752"/>
    <w:rsid w:val="009E12D7"/>
    <w:rsid w:val="009E1FE9"/>
    <w:rsid w:val="009E2667"/>
    <w:rsid w:val="009E2EFA"/>
    <w:rsid w:val="009E2F49"/>
    <w:rsid w:val="009E47BF"/>
    <w:rsid w:val="009E4EAB"/>
    <w:rsid w:val="009E5A27"/>
    <w:rsid w:val="009E620C"/>
    <w:rsid w:val="009E65AD"/>
    <w:rsid w:val="009E7EFE"/>
    <w:rsid w:val="009F0FA3"/>
    <w:rsid w:val="009F10DD"/>
    <w:rsid w:val="009F11AF"/>
    <w:rsid w:val="009F27FA"/>
    <w:rsid w:val="009F367D"/>
    <w:rsid w:val="009F3FD9"/>
    <w:rsid w:val="009F6375"/>
    <w:rsid w:val="009F6640"/>
    <w:rsid w:val="009F741F"/>
    <w:rsid w:val="00A014E4"/>
    <w:rsid w:val="00A01760"/>
    <w:rsid w:val="00A017BC"/>
    <w:rsid w:val="00A026E9"/>
    <w:rsid w:val="00A02C4B"/>
    <w:rsid w:val="00A036DE"/>
    <w:rsid w:val="00A0443C"/>
    <w:rsid w:val="00A04AF9"/>
    <w:rsid w:val="00A05765"/>
    <w:rsid w:val="00A0765E"/>
    <w:rsid w:val="00A078F1"/>
    <w:rsid w:val="00A10143"/>
    <w:rsid w:val="00A10DD5"/>
    <w:rsid w:val="00A11052"/>
    <w:rsid w:val="00A11629"/>
    <w:rsid w:val="00A1189E"/>
    <w:rsid w:val="00A119B5"/>
    <w:rsid w:val="00A12842"/>
    <w:rsid w:val="00A12913"/>
    <w:rsid w:val="00A13CBC"/>
    <w:rsid w:val="00A1440D"/>
    <w:rsid w:val="00A14A84"/>
    <w:rsid w:val="00A14DA8"/>
    <w:rsid w:val="00A159E2"/>
    <w:rsid w:val="00A15E97"/>
    <w:rsid w:val="00A16AB6"/>
    <w:rsid w:val="00A17754"/>
    <w:rsid w:val="00A17C2D"/>
    <w:rsid w:val="00A17EDF"/>
    <w:rsid w:val="00A20711"/>
    <w:rsid w:val="00A20E3C"/>
    <w:rsid w:val="00A20FDE"/>
    <w:rsid w:val="00A22022"/>
    <w:rsid w:val="00A23349"/>
    <w:rsid w:val="00A23F49"/>
    <w:rsid w:val="00A24461"/>
    <w:rsid w:val="00A258C4"/>
    <w:rsid w:val="00A25973"/>
    <w:rsid w:val="00A2616E"/>
    <w:rsid w:val="00A26CB6"/>
    <w:rsid w:val="00A26DB3"/>
    <w:rsid w:val="00A26E3B"/>
    <w:rsid w:val="00A30FD4"/>
    <w:rsid w:val="00A31AE0"/>
    <w:rsid w:val="00A33094"/>
    <w:rsid w:val="00A34B01"/>
    <w:rsid w:val="00A34D3E"/>
    <w:rsid w:val="00A35C20"/>
    <w:rsid w:val="00A362FF"/>
    <w:rsid w:val="00A36A1B"/>
    <w:rsid w:val="00A37E94"/>
    <w:rsid w:val="00A40F10"/>
    <w:rsid w:val="00A4140A"/>
    <w:rsid w:val="00A41770"/>
    <w:rsid w:val="00A43DF4"/>
    <w:rsid w:val="00A447A7"/>
    <w:rsid w:val="00A450DA"/>
    <w:rsid w:val="00A4553E"/>
    <w:rsid w:val="00A45BFA"/>
    <w:rsid w:val="00A45DDD"/>
    <w:rsid w:val="00A468C5"/>
    <w:rsid w:val="00A468DE"/>
    <w:rsid w:val="00A46C8E"/>
    <w:rsid w:val="00A4734E"/>
    <w:rsid w:val="00A50911"/>
    <w:rsid w:val="00A509B9"/>
    <w:rsid w:val="00A5344F"/>
    <w:rsid w:val="00A53701"/>
    <w:rsid w:val="00A54DCF"/>
    <w:rsid w:val="00A557C0"/>
    <w:rsid w:val="00A55E4A"/>
    <w:rsid w:val="00A5623D"/>
    <w:rsid w:val="00A57A50"/>
    <w:rsid w:val="00A57E08"/>
    <w:rsid w:val="00A60209"/>
    <w:rsid w:val="00A602DD"/>
    <w:rsid w:val="00A60C16"/>
    <w:rsid w:val="00A61D31"/>
    <w:rsid w:val="00A61D68"/>
    <w:rsid w:val="00A62DB8"/>
    <w:rsid w:val="00A63F2F"/>
    <w:rsid w:val="00A66AEA"/>
    <w:rsid w:val="00A67094"/>
    <w:rsid w:val="00A67CF9"/>
    <w:rsid w:val="00A70C08"/>
    <w:rsid w:val="00A70DD3"/>
    <w:rsid w:val="00A740A0"/>
    <w:rsid w:val="00A7460B"/>
    <w:rsid w:val="00A76167"/>
    <w:rsid w:val="00A763A8"/>
    <w:rsid w:val="00A767B6"/>
    <w:rsid w:val="00A7695C"/>
    <w:rsid w:val="00A771CF"/>
    <w:rsid w:val="00A77E9A"/>
    <w:rsid w:val="00A7CC03"/>
    <w:rsid w:val="00A8022A"/>
    <w:rsid w:val="00A80A5B"/>
    <w:rsid w:val="00A81009"/>
    <w:rsid w:val="00A813C3"/>
    <w:rsid w:val="00A81DB4"/>
    <w:rsid w:val="00A82A6C"/>
    <w:rsid w:val="00A83BEF"/>
    <w:rsid w:val="00A84556"/>
    <w:rsid w:val="00A84C0A"/>
    <w:rsid w:val="00A84ED9"/>
    <w:rsid w:val="00A850CF"/>
    <w:rsid w:val="00A8523D"/>
    <w:rsid w:val="00A85290"/>
    <w:rsid w:val="00A855F1"/>
    <w:rsid w:val="00A8611E"/>
    <w:rsid w:val="00A863D4"/>
    <w:rsid w:val="00A866AC"/>
    <w:rsid w:val="00A86AA5"/>
    <w:rsid w:val="00A86E19"/>
    <w:rsid w:val="00A87275"/>
    <w:rsid w:val="00A87905"/>
    <w:rsid w:val="00A8797F"/>
    <w:rsid w:val="00A87D3D"/>
    <w:rsid w:val="00A90131"/>
    <w:rsid w:val="00A905A1"/>
    <w:rsid w:val="00A90647"/>
    <w:rsid w:val="00A90B50"/>
    <w:rsid w:val="00A91126"/>
    <w:rsid w:val="00A911F5"/>
    <w:rsid w:val="00A91F5B"/>
    <w:rsid w:val="00A9285A"/>
    <w:rsid w:val="00A92926"/>
    <w:rsid w:val="00A944CA"/>
    <w:rsid w:val="00A95989"/>
    <w:rsid w:val="00A95D66"/>
    <w:rsid w:val="00A9601C"/>
    <w:rsid w:val="00A972EC"/>
    <w:rsid w:val="00A976C7"/>
    <w:rsid w:val="00AA00BB"/>
    <w:rsid w:val="00AA10C2"/>
    <w:rsid w:val="00AA23C8"/>
    <w:rsid w:val="00AA2492"/>
    <w:rsid w:val="00AA2571"/>
    <w:rsid w:val="00AA2AF4"/>
    <w:rsid w:val="00AA2F9D"/>
    <w:rsid w:val="00AA4AC5"/>
    <w:rsid w:val="00AA4AF3"/>
    <w:rsid w:val="00AA57FE"/>
    <w:rsid w:val="00AA5AF4"/>
    <w:rsid w:val="00AA5BD3"/>
    <w:rsid w:val="00AB01D1"/>
    <w:rsid w:val="00AB03C8"/>
    <w:rsid w:val="00AB054B"/>
    <w:rsid w:val="00AB0AA7"/>
    <w:rsid w:val="00AB0B34"/>
    <w:rsid w:val="00AB115A"/>
    <w:rsid w:val="00AB1753"/>
    <w:rsid w:val="00AB1C17"/>
    <w:rsid w:val="00AB29CB"/>
    <w:rsid w:val="00AB2AA7"/>
    <w:rsid w:val="00AB3845"/>
    <w:rsid w:val="00AB4B69"/>
    <w:rsid w:val="00AB4D49"/>
    <w:rsid w:val="00AB5107"/>
    <w:rsid w:val="00AB5213"/>
    <w:rsid w:val="00AB5587"/>
    <w:rsid w:val="00AB63C1"/>
    <w:rsid w:val="00AB756F"/>
    <w:rsid w:val="00AC001D"/>
    <w:rsid w:val="00AC07D3"/>
    <w:rsid w:val="00AC1BFD"/>
    <w:rsid w:val="00AC1E6F"/>
    <w:rsid w:val="00AC21B1"/>
    <w:rsid w:val="00AC3033"/>
    <w:rsid w:val="00AC3626"/>
    <w:rsid w:val="00AC3D25"/>
    <w:rsid w:val="00AC448D"/>
    <w:rsid w:val="00AC4933"/>
    <w:rsid w:val="00AC59BB"/>
    <w:rsid w:val="00AD10E6"/>
    <w:rsid w:val="00AD198B"/>
    <w:rsid w:val="00AD2854"/>
    <w:rsid w:val="00AD2ABA"/>
    <w:rsid w:val="00AD2F35"/>
    <w:rsid w:val="00AD66EA"/>
    <w:rsid w:val="00AD6D10"/>
    <w:rsid w:val="00AD73BB"/>
    <w:rsid w:val="00AD76DF"/>
    <w:rsid w:val="00AE0321"/>
    <w:rsid w:val="00AE0394"/>
    <w:rsid w:val="00AE0A5B"/>
    <w:rsid w:val="00AE0F4F"/>
    <w:rsid w:val="00AE2344"/>
    <w:rsid w:val="00AE4F4D"/>
    <w:rsid w:val="00AE564A"/>
    <w:rsid w:val="00AE6635"/>
    <w:rsid w:val="00AE6B27"/>
    <w:rsid w:val="00AE6B9C"/>
    <w:rsid w:val="00AE6D7A"/>
    <w:rsid w:val="00AE6DE5"/>
    <w:rsid w:val="00AE74F9"/>
    <w:rsid w:val="00AF1C66"/>
    <w:rsid w:val="00AF3D60"/>
    <w:rsid w:val="00AF3F17"/>
    <w:rsid w:val="00AF441E"/>
    <w:rsid w:val="00AF533D"/>
    <w:rsid w:val="00AF56E4"/>
    <w:rsid w:val="00AF60D9"/>
    <w:rsid w:val="00AF6279"/>
    <w:rsid w:val="00AF6767"/>
    <w:rsid w:val="00AF720D"/>
    <w:rsid w:val="00B0025B"/>
    <w:rsid w:val="00B009A3"/>
    <w:rsid w:val="00B00BB0"/>
    <w:rsid w:val="00B00BEA"/>
    <w:rsid w:val="00B013EF"/>
    <w:rsid w:val="00B01759"/>
    <w:rsid w:val="00B02397"/>
    <w:rsid w:val="00B02590"/>
    <w:rsid w:val="00B026EC"/>
    <w:rsid w:val="00B04D50"/>
    <w:rsid w:val="00B070F2"/>
    <w:rsid w:val="00B0720E"/>
    <w:rsid w:val="00B073B9"/>
    <w:rsid w:val="00B075BB"/>
    <w:rsid w:val="00B0787C"/>
    <w:rsid w:val="00B07A8C"/>
    <w:rsid w:val="00B11064"/>
    <w:rsid w:val="00B1117F"/>
    <w:rsid w:val="00B121DB"/>
    <w:rsid w:val="00B12235"/>
    <w:rsid w:val="00B1238B"/>
    <w:rsid w:val="00B12B68"/>
    <w:rsid w:val="00B12D83"/>
    <w:rsid w:val="00B137EF"/>
    <w:rsid w:val="00B13997"/>
    <w:rsid w:val="00B13E96"/>
    <w:rsid w:val="00B14597"/>
    <w:rsid w:val="00B14B1C"/>
    <w:rsid w:val="00B1577C"/>
    <w:rsid w:val="00B15994"/>
    <w:rsid w:val="00B161E2"/>
    <w:rsid w:val="00B164A3"/>
    <w:rsid w:val="00B16990"/>
    <w:rsid w:val="00B16C43"/>
    <w:rsid w:val="00B16F47"/>
    <w:rsid w:val="00B1739C"/>
    <w:rsid w:val="00B17B4A"/>
    <w:rsid w:val="00B17E56"/>
    <w:rsid w:val="00B20994"/>
    <w:rsid w:val="00B20B1C"/>
    <w:rsid w:val="00B2186F"/>
    <w:rsid w:val="00B218A5"/>
    <w:rsid w:val="00B21D76"/>
    <w:rsid w:val="00B21F2D"/>
    <w:rsid w:val="00B23127"/>
    <w:rsid w:val="00B2385C"/>
    <w:rsid w:val="00B2415F"/>
    <w:rsid w:val="00B24410"/>
    <w:rsid w:val="00B2472B"/>
    <w:rsid w:val="00B254E3"/>
    <w:rsid w:val="00B2559F"/>
    <w:rsid w:val="00B2565D"/>
    <w:rsid w:val="00B25754"/>
    <w:rsid w:val="00B266C0"/>
    <w:rsid w:val="00B26B2C"/>
    <w:rsid w:val="00B27C27"/>
    <w:rsid w:val="00B3072B"/>
    <w:rsid w:val="00B30DA0"/>
    <w:rsid w:val="00B31E36"/>
    <w:rsid w:val="00B321EC"/>
    <w:rsid w:val="00B33D2A"/>
    <w:rsid w:val="00B33E56"/>
    <w:rsid w:val="00B33E8D"/>
    <w:rsid w:val="00B34396"/>
    <w:rsid w:val="00B347E3"/>
    <w:rsid w:val="00B350BE"/>
    <w:rsid w:val="00B35925"/>
    <w:rsid w:val="00B35C96"/>
    <w:rsid w:val="00B368DC"/>
    <w:rsid w:val="00B36B1D"/>
    <w:rsid w:val="00B36B58"/>
    <w:rsid w:val="00B37422"/>
    <w:rsid w:val="00B405B6"/>
    <w:rsid w:val="00B40BF6"/>
    <w:rsid w:val="00B40D16"/>
    <w:rsid w:val="00B419F9"/>
    <w:rsid w:val="00B41AC5"/>
    <w:rsid w:val="00B41B1A"/>
    <w:rsid w:val="00B42C57"/>
    <w:rsid w:val="00B430E0"/>
    <w:rsid w:val="00B43702"/>
    <w:rsid w:val="00B44912"/>
    <w:rsid w:val="00B44CC2"/>
    <w:rsid w:val="00B44DD5"/>
    <w:rsid w:val="00B4500F"/>
    <w:rsid w:val="00B45041"/>
    <w:rsid w:val="00B456F7"/>
    <w:rsid w:val="00B458C3"/>
    <w:rsid w:val="00B45E25"/>
    <w:rsid w:val="00B45F8E"/>
    <w:rsid w:val="00B46891"/>
    <w:rsid w:val="00B46BE6"/>
    <w:rsid w:val="00B471EF"/>
    <w:rsid w:val="00B47469"/>
    <w:rsid w:val="00B47717"/>
    <w:rsid w:val="00B47E21"/>
    <w:rsid w:val="00B50A61"/>
    <w:rsid w:val="00B50C1B"/>
    <w:rsid w:val="00B5124F"/>
    <w:rsid w:val="00B529FA"/>
    <w:rsid w:val="00B53242"/>
    <w:rsid w:val="00B5392E"/>
    <w:rsid w:val="00B53DF2"/>
    <w:rsid w:val="00B53F7C"/>
    <w:rsid w:val="00B5445C"/>
    <w:rsid w:val="00B54C2D"/>
    <w:rsid w:val="00B54E2E"/>
    <w:rsid w:val="00B55013"/>
    <w:rsid w:val="00B55056"/>
    <w:rsid w:val="00B5562F"/>
    <w:rsid w:val="00B607B3"/>
    <w:rsid w:val="00B60E14"/>
    <w:rsid w:val="00B614ED"/>
    <w:rsid w:val="00B616FB"/>
    <w:rsid w:val="00B61BEB"/>
    <w:rsid w:val="00B63199"/>
    <w:rsid w:val="00B63882"/>
    <w:rsid w:val="00B63E35"/>
    <w:rsid w:val="00B63E6F"/>
    <w:rsid w:val="00B6421C"/>
    <w:rsid w:val="00B647B6"/>
    <w:rsid w:val="00B65F22"/>
    <w:rsid w:val="00B671F8"/>
    <w:rsid w:val="00B67359"/>
    <w:rsid w:val="00B67E25"/>
    <w:rsid w:val="00B70ED8"/>
    <w:rsid w:val="00B71ECC"/>
    <w:rsid w:val="00B7356C"/>
    <w:rsid w:val="00B73B07"/>
    <w:rsid w:val="00B73BC8"/>
    <w:rsid w:val="00B73F1C"/>
    <w:rsid w:val="00B74084"/>
    <w:rsid w:val="00B741A9"/>
    <w:rsid w:val="00B74777"/>
    <w:rsid w:val="00B7577D"/>
    <w:rsid w:val="00B76162"/>
    <w:rsid w:val="00B76D70"/>
    <w:rsid w:val="00B77AED"/>
    <w:rsid w:val="00B80071"/>
    <w:rsid w:val="00B80831"/>
    <w:rsid w:val="00B810D3"/>
    <w:rsid w:val="00B81144"/>
    <w:rsid w:val="00B812B9"/>
    <w:rsid w:val="00B85C54"/>
    <w:rsid w:val="00B86314"/>
    <w:rsid w:val="00B86C9F"/>
    <w:rsid w:val="00B874EB"/>
    <w:rsid w:val="00B875C6"/>
    <w:rsid w:val="00B877FE"/>
    <w:rsid w:val="00B90219"/>
    <w:rsid w:val="00B90249"/>
    <w:rsid w:val="00B90BCE"/>
    <w:rsid w:val="00B910D6"/>
    <w:rsid w:val="00B91312"/>
    <w:rsid w:val="00B91892"/>
    <w:rsid w:val="00B918F6"/>
    <w:rsid w:val="00B91CB2"/>
    <w:rsid w:val="00B91D04"/>
    <w:rsid w:val="00B91FF2"/>
    <w:rsid w:val="00B92B90"/>
    <w:rsid w:val="00B9380A"/>
    <w:rsid w:val="00B93936"/>
    <w:rsid w:val="00B93C36"/>
    <w:rsid w:val="00B93E5F"/>
    <w:rsid w:val="00B948CF"/>
    <w:rsid w:val="00B94C23"/>
    <w:rsid w:val="00B955A9"/>
    <w:rsid w:val="00B95D67"/>
    <w:rsid w:val="00B960A1"/>
    <w:rsid w:val="00B96310"/>
    <w:rsid w:val="00B96334"/>
    <w:rsid w:val="00B964B4"/>
    <w:rsid w:val="00B96C25"/>
    <w:rsid w:val="00B971A4"/>
    <w:rsid w:val="00B9753D"/>
    <w:rsid w:val="00B979A1"/>
    <w:rsid w:val="00B97ECB"/>
    <w:rsid w:val="00BA0100"/>
    <w:rsid w:val="00BA0D5A"/>
    <w:rsid w:val="00BA1F34"/>
    <w:rsid w:val="00BA22DB"/>
    <w:rsid w:val="00BA2535"/>
    <w:rsid w:val="00BA31C8"/>
    <w:rsid w:val="00BA4D0E"/>
    <w:rsid w:val="00BA54AF"/>
    <w:rsid w:val="00BA5E83"/>
    <w:rsid w:val="00BA6C4B"/>
    <w:rsid w:val="00BB0588"/>
    <w:rsid w:val="00BB242C"/>
    <w:rsid w:val="00BB2550"/>
    <w:rsid w:val="00BB2E00"/>
    <w:rsid w:val="00BB3AE8"/>
    <w:rsid w:val="00BB4C01"/>
    <w:rsid w:val="00BB56A4"/>
    <w:rsid w:val="00BB628E"/>
    <w:rsid w:val="00BB6869"/>
    <w:rsid w:val="00BB6BAF"/>
    <w:rsid w:val="00BB7B7E"/>
    <w:rsid w:val="00BB7BE3"/>
    <w:rsid w:val="00BB7F10"/>
    <w:rsid w:val="00BC02C7"/>
    <w:rsid w:val="00BC038F"/>
    <w:rsid w:val="00BC0C44"/>
    <w:rsid w:val="00BC0C89"/>
    <w:rsid w:val="00BC0E96"/>
    <w:rsid w:val="00BC1654"/>
    <w:rsid w:val="00BC19EF"/>
    <w:rsid w:val="00BC2E84"/>
    <w:rsid w:val="00BC3273"/>
    <w:rsid w:val="00BC37E8"/>
    <w:rsid w:val="00BC3AA3"/>
    <w:rsid w:val="00BC47ED"/>
    <w:rsid w:val="00BC50D1"/>
    <w:rsid w:val="00BC5AF8"/>
    <w:rsid w:val="00BC6855"/>
    <w:rsid w:val="00BC6B0F"/>
    <w:rsid w:val="00BC7AD0"/>
    <w:rsid w:val="00BC7D5A"/>
    <w:rsid w:val="00BD0655"/>
    <w:rsid w:val="00BD086A"/>
    <w:rsid w:val="00BD1FB2"/>
    <w:rsid w:val="00BD2A59"/>
    <w:rsid w:val="00BD30B5"/>
    <w:rsid w:val="00BD32DC"/>
    <w:rsid w:val="00BD3580"/>
    <w:rsid w:val="00BD384C"/>
    <w:rsid w:val="00BD48D9"/>
    <w:rsid w:val="00BD4B87"/>
    <w:rsid w:val="00BD548A"/>
    <w:rsid w:val="00BD56C0"/>
    <w:rsid w:val="00BD5A15"/>
    <w:rsid w:val="00BD5D95"/>
    <w:rsid w:val="00BD73F8"/>
    <w:rsid w:val="00BD76BA"/>
    <w:rsid w:val="00BE0CD3"/>
    <w:rsid w:val="00BE10C5"/>
    <w:rsid w:val="00BE1287"/>
    <w:rsid w:val="00BE1944"/>
    <w:rsid w:val="00BE1AA3"/>
    <w:rsid w:val="00BE2BA0"/>
    <w:rsid w:val="00BE3311"/>
    <w:rsid w:val="00BE47C0"/>
    <w:rsid w:val="00BE4A57"/>
    <w:rsid w:val="00BE5374"/>
    <w:rsid w:val="00BE5513"/>
    <w:rsid w:val="00BE5E64"/>
    <w:rsid w:val="00BE5EA9"/>
    <w:rsid w:val="00BE645B"/>
    <w:rsid w:val="00BE6837"/>
    <w:rsid w:val="00BE6ACC"/>
    <w:rsid w:val="00BE6AE3"/>
    <w:rsid w:val="00BE74DC"/>
    <w:rsid w:val="00BF097D"/>
    <w:rsid w:val="00BF0A99"/>
    <w:rsid w:val="00BF0B77"/>
    <w:rsid w:val="00BF1CDC"/>
    <w:rsid w:val="00BF2D1D"/>
    <w:rsid w:val="00BF2F4B"/>
    <w:rsid w:val="00BF34F0"/>
    <w:rsid w:val="00BF38A8"/>
    <w:rsid w:val="00BF4FC0"/>
    <w:rsid w:val="00BF5D2A"/>
    <w:rsid w:val="00BF73C7"/>
    <w:rsid w:val="00BF7589"/>
    <w:rsid w:val="00BF7F02"/>
    <w:rsid w:val="00BF7FB3"/>
    <w:rsid w:val="00C0032E"/>
    <w:rsid w:val="00C00558"/>
    <w:rsid w:val="00C00D3F"/>
    <w:rsid w:val="00C00E58"/>
    <w:rsid w:val="00C01177"/>
    <w:rsid w:val="00C0170E"/>
    <w:rsid w:val="00C033E7"/>
    <w:rsid w:val="00C043DC"/>
    <w:rsid w:val="00C0474F"/>
    <w:rsid w:val="00C04B3A"/>
    <w:rsid w:val="00C04D90"/>
    <w:rsid w:val="00C04E31"/>
    <w:rsid w:val="00C0509C"/>
    <w:rsid w:val="00C060ED"/>
    <w:rsid w:val="00C06FDC"/>
    <w:rsid w:val="00C0744C"/>
    <w:rsid w:val="00C1034C"/>
    <w:rsid w:val="00C1074D"/>
    <w:rsid w:val="00C1074F"/>
    <w:rsid w:val="00C10B97"/>
    <w:rsid w:val="00C118E1"/>
    <w:rsid w:val="00C11F83"/>
    <w:rsid w:val="00C13C89"/>
    <w:rsid w:val="00C153F8"/>
    <w:rsid w:val="00C15A7E"/>
    <w:rsid w:val="00C15BE1"/>
    <w:rsid w:val="00C16919"/>
    <w:rsid w:val="00C17081"/>
    <w:rsid w:val="00C17477"/>
    <w:rsid w:val="00C1755E"/>
    <w:rsid w:val="00C17768"/>
    <w:rsid w:val="00C17DCB"/>
    <w:rsid w:val="00C20AE3"/>
    <w:rsid w:val="00C235BB"/>
    <w:rsid w:val="00C23C14"/>
    <w:rsid w:val="00C23FD0"/>
    <w:rsid w:val="00C25028"/>
    <w:rsid w:val="00C255E1"/>
    <w:rsid w:val="00C25F9C"/>
    <w:rsid w:val="00C2665A"/>
    <w:rsid w:val="00C266F1"/>
    <w:rsid w:val="00C275D6"/>
    <w:rsid w:val="00C310AF"/>
    <w:rsid w:val="00C31825"/>
    <w:rsid w:val="00C324E5"/>
    <w:rsid w:val="00C32DEF"/>
    <w:rsid w:val="00C3405A"/>
    <w:rsid w:val="00C34B01"/>
    <w:rsid w:val="00C3699A"/>
    <w:rsid w:val="00C37770"/>
    <w:rsid w:val="00C37C7C"/>
    <w:rsid w:val="00C4013D"/>
    <w:rsid w:val="00C40435"/>
    <w:rsid w:val="00C40440"/>
    <w:rsid w:val="00C40A34"/>
    <w:rsid w:val="00C410B0"/>
    <w:rsid w:val="00C4189E"/>
    <w:rsid w:val="00C41DBF"/>
    <w:rsid w:val="00C422B4"/>
    <w:rsid w:val="00C429A0"/>
    <w:rsid w:val="00C4314B"/>
    <w:rsid w:val="00C436F3"/>
    <w:rsid w:val="00C43822"/>
    <w:rsid w:val="00C443AD"/>
    <w:rsid w:val="00C451CF"/>
    <w:rsid w:val="00C45A68"/>
    <w:rsid w:val="00C45C40"/>
    <w:rsid w:val="00C463A7"/>
    <w:rsid w:val="00C46757"/>
    <w:rsid w:val="00C47077"/>
    <w:rsid w:val="00C4768E"/>
    <w:rsid w:val="00C47BB6"/>
    <w:rsid w:val="00C47C8E"/>
    <w:rsid w:val="00C47DE2"/>
    <w:rsid w:val="00C501D7"/>
    <w:rsid w:val="00C50660"/>
    <w:rsid w:val="00C5072A"/>
    <w:rsid w:val="00C51206"/>
    <w:rsid w:val="00C51616"/>
    <w:rsid w:val="00C5207B"/>
    <w:rsid w:val="00C52B0E"/>
    <w:rsid w:val="00C52D2E"/>
    <w:rsid w:val="00C5309F"/>
    <w:rsid w:val="00C53AA5"/>
    <w:rsid w:val="00C55BF8"/>
    <w:rsid w:val="00C55CA5"/>
    <w:rsid w:val="00C55DFF"/>
    <w:rsid w:val="00C573DE"/>
    <w:rsid w:val="00C5744B"/>
    <w:rsid w:val="00C578D7"/>
    <w:rsid w:val="00C579BD"/>
    <w:rsid w:val="00C57D74"/>
    <w:rsid w:val="00C57ED3"/>
    <w:rsid w:val="00C57FC0"/>
    <w:rsid w:val="00C60442"/>
    <w:rsid w:val="00C6065B"/>
    <w:rsid w:val="00C60F2D"/>
    <w:rsid w:val="00C610DB"/>
    <w:rsid w:val="00C6155D"/>
    <w:rsid w:val="00C618DA"/>
    <w:rsid w:val="00C6247A"/>
    <w:rsid w:val="00C62AA4"/>
    <w:rsid w:val="00C62F67"/>
    <w:rsid w:val="00C638B1"/>
    <w:rsid w:val="00C648C7"/>
    <w:rsid w:val="00C653BC"/>
    <w:rsid w:val="00C65B19"/>
    <w:rsid w:val="00C65E69"/>
    <w:rsid w:val="00C65EBA"/>
    <w:rsid w:val="00C66847"/>
    <w:rsid w:val="00C67223"/>
    <w:rsid w:val="00C67534"/>
    <w:rsid w:val="00C676FA"/>
    <w:rsid w:val="00C7004B"/>
    <w:rsid w:val="00C7088C"/>
    <w:rsid w:val="00C70C66"/>
    <w:rsid w:val="00C711D3"/>
    <w:rsid w:val="00C712D5"/>
    <w:rsid w:val="00C7154C"/>
    <w:rsid w:val="00C7164E"/>
    <w:rsid w:val="00C72634"/>
    <w:rsid w:val="00C7287F"/>
    <w:rsid w:val="00C741A2"/>
    <w:rsid w:val="00C747B4"/>
    <w:rsid w:val="00C7569F"/>
    <w:rsid w:val="00C757BC"/>
    <w:rsid w:val="00C75906"/>
    <w:rsid w:val="00C773D8"/>
    <w:rsid w:val="00C80381"/>
    <w:rsid w:val="00C804B7"/>
    <w:rsid w:val="00C805B9"/>
    <w:rsid w:val="00C82907"/>
    <w:rsid w:val="00C837CE"/>
    <w:rsid w:val="00C83EE1"/>
    <w:rsid w:val="00C84368"/>
    <w:rsid w:val="00C84A78"/>
    <w:rsid w:val="00C84B16"/>
    <w:rsid w:val="00C8572F"/>
    <w:rsid w:val="00C85EAC"/>
    <w:rsid w:val="00C864AF"/>
    <w:rsid w:val="00C86DC7"/>
    <w:rsid w:val="00C87C62"/>
    <w:rsid w:val="00C87D22"/>
    <w:rsid w:val="00C90616"/>
    <w:rsid w:val="00C90B8E"/>
    <w:rsid w:val="00C91175"/>
    <w:rsid w:val="00C92CE3"/>
    <w:rsid w:val="00C92EFC"/>
    <w:rsid w:val="00C9328A"/>
    <w:rsid w:val="00C9445E"/>
    <w:rsid w:val="00C947EC"/>
    <w:rsid w:val="00C9528B"/>
    <w:rsid w:val="00C95593"/>
    <w:rsid w:val="00C969E4"/>
    <w:rsid w:val="00C96A91"/>
    <w:rsid w:val="00C96D05"/>
    <w:rsid w:val="00C97287"/>
    <w:rsid w:val="00C973E6"/>
    <w:rsid w:val="00CA0DE4"/>
    <w:rsid w:val="00CA2843"/>
    <w:rsid w:val="00CA367D"/>
    <w:rsid w:val="00CA3E20"/>
    <w:rsid w:val="00CA4371"/>
    <w:rsid w:val="00CA4468"/>
    <w:rsid w:val="00CA6C9B"/>
    <w:rsid w:val="00CA6E7B"/>
    <w:rsid w:val="00CA7435"/>
    <w:rsid w:val="00CA762C"/>
    <w:rsid w:val="00CA7CBA"/>
    <w:rsid w:val="00CA7E3D"/>
    <w:rsid w:val="00CA7EB7"/>
    <w:rsid w:val="00CB0210"/>
    <w:rsid w:val="00CB0E55"/>
    <w:rsid w:val="00CB132C"/>
    <w:rsid w:val="00CB201B"/>
    <w:rsid w:val="00CB2946"/>
    <w:rsid w:val="00CB3248"/>
    <w:rsid w:val="00CB362E"/>
    <w:rsid w:val="00CB40AF"/>
    <w:rsid w:val="00CB4767"/>
    <w:rsid w:val="00CB4F7F"/>
    <w:rsid w:val="00CB63C9"/>
    <w:rsid w:val="00CB6AF0"/>
    <w:rsid w:val="00CB70D5"/>
    <w:rsid w:val="00CC010B"/>
    <w:rsid w:val="00CC0D37"/>
    <w:rsid w:val="00CC0D9C"/>
    <w:rsid w:val="00CC157D"/>
    <w:rsid w:val="00CC1EB6"/>
    <w:rsid w:val="00CC2951"/>
    <w:rsid w:val="00CC31CC"/>
    <w:rsid w:val="00CC32D7"/>
    <w:rsid w:val="00CC3E20"/>
    <w:rsid w:val="00CC4415"/>
    <w:rsid w:val="00CC491B"/>
    <w:rsid w:val="00CC5275"/>
    <w:rsid w:val="00CC6652"/>
    <w:rsid w:val="00CC6844"/>
    <w:rsid w:val="00CC7DAC"/>
    <w:rsid w:val="00CC7F4F"/>
    <w:rsid w:val="00CD0DCD"/>
    <w:rsid w:val="00CD0FA5"/>
    <w:rsid w:val="00CD1423"/>
    <w:rsid w:val="00CD1909"/>
    <w:rsid w:val="00CD19A0"/>
    <w:rsid w:val="00CD1EB5"/>
    <w:rsid w:val="00CD202F"/>
    <w:rsid w:val="00CD283B"/>
    <w:rsid w:val="00CD28B4"/>
    <w:rsid w:val="00CD2BE9"/>
    <w:rsid w:val="00CD2C67"/>
    <w:rsid w:val="00CD2CEC"/>
    <w:rsid w:val="00CD2F48"/>
    <w:rsid w:val="00CD31EB"/>
    <w:rsid w:val="00CD3234"/>
    <w:rsid w:val="00CD34E1"/>
    <w:rsid w:val="00CD4143"/>
    <w:rsid w:val="00CD4B2B"/>
    <w:rsid w:val="00CD4B6D"/>
    <w:rsid w:val="00CD4F05"/>
    <w:rsid w:val="00CD54A1"/>
    <w:rsid w:val="00CD5601"/>
    <w:rsid w:val="00CD5767"/>
    <w:rsid w:val="00CD5D87"/>
    <w:rsid w:val="00CD6692"/>
    <w:rsid w:val="00CE040A"/>
    <w:rsid w:val="00CE08E2"/>
    <w:rsid w:val="00CE16B5"/>
    <w:rsid w:val="00CE1748"/>
    <w:rsid w:val="00CE1B88"/>
    <w:rsid w:val="00CE1D32"/>
    <w:rsid w:val="00CE2AB3"/>
    <w:rsid w:val="00CE452A"/>
    <w:rsid w:val="00CE4A4C"/>
    <w:rsid w:val="00CE5254"/>
    <w:rsid w:val="00CE5591"/>
    <w:rsid w:val="00CE6781"/>
    <w:rsid w:val="00CE7594"/>
    <w:rsid w:val="00CE78C4"/>
    <w:rsid w:val="00CF02DD"/>
    <w:rsid w:val="00CF05D4"/>
    <w:rsid w:val="00CF274C"/>
    <w:rsid w:val="00CF2E91"/>
    <w:rsid w:val="00CF3248"/>
    <w:rsid w:val="00CF32E8"/>
    <w:rsid w:val="00CF34A0"/>
    <w:rsid w:val="00CF59E6"/>
    <w:rsid w:val="00CF62CC"/>
    <w:rsid w:val="00CF6C45"/>
    <w:rsid w:val="00CF6D6C"/>
    <w:rsid w:val="00CF6DC7"/>
    <w:rsid w:val="00CF70D4"/>
    <w:rsid w:val="00CF7198"/>
    <w:rsid w:val="00CF71DB"/>
    <w:rsid w:val="00CF7E36"/>
    <w:rsid w:val="00D00E37"/>
    <w:rsid w:val="00D00F9E"/>
    <w:rsid w:val="00D01394"/>
    <w:rsid w:val="00D01BAE"/>
    <w:rsid w:val="00D02918"/>
    <w:rsid w:val="00D03D00"/>
    <w:rsid w:val="00D0460A"/>
    <w:rsid w:val="00D0511E"/>
    <w:rsid w:val="00D0589B"/>
    <w:rsid w:val="00D05901"/>
    <w:rsid w:val="00D05FF0"/>
    <w:rsid w:val="00D06304"/>
    <w:rsid w:val="00D064B7"/>
    <w:rsid w:val="00D06B78"/>
    <w:rsid w:val="00D108CD"/>
    <w:rsid w:val="00D10A48"/>
    <w:rsid w:val="00D10DA9"/>
    <w:rsid w:val="00D1108A"/>
    <w:rsid w:val="00D11868"/>
    <w:rsid w:val="00D12F16"/>
    <w:rsid w:val="00D13880"/>
    <w:rsid w:val="00D14242"/>
    <w:rsid w:val="00D14460"/>
    <w:rsid w:val="00D14768"/>
    <w:rsid w:val="00D15453"/>
    <w:rsid w:val="00D1659C"/>
    <w:rsid w:val="00D16DF5"/>
    <w:rsid w:val="00D1706E"/>
    <w:rsid w:val="00D17C3E"/>
    <w:rsid w:val="00D17D41"/>
    <w:rsid w:val="00D2039D"/>
    <w:rsid w:val="00D20AE6"/>
    <w:rsid w:val="00D21644"/>
    <w:rsid w:val="00D22453"/>
    <w:rsid w:val="00D22536"/>
    <w:rsid w:val="00D233D5"/>
    <w:rsid w:val="00D2437D"/>
    <w:rsid w:val="00D243A5"/>
    <w:rsid w:val="00D248EC"/>
    <w:rsid w:val="00D24B96"/>
    <w:rsid w:val="00D24BD7"/>
    <w:rsid w:val="00D24D56"/>
    <w:rsid w:val="00D2541D"/>
    <w:rsid w:val="00D25EFD"/>
    <w:rsid w:val="00D268E3"/>
    <w:rsid w:val="00D31871"/>
    <w:rsid w:val="00D31AE0"/>
    <w:rsid w:val="00D31AF5"/>
    <w:rsid w:val="00D31E0F"/>
    <w:rsid w:val="00D34250"/>
    <w:rsid w:val="00D34F93"/>
    <w:rsid w:val="00D35268"/>
    <w:rsid w:val="00D35515"/>
    <w:rsid w:val="00D35DE7"/>
    <w:rsid w:val="00D35EE9"/>
    <w:rsid w:val="00D35FEE"/>
    <w:rsid w:val="00D36613"/>
    <w:rsid w:val="00D36A4B"/>
    <w:rsid w:val="00D36AD4"/>
    <w:rsid w:val="00D36D2B"/>
    <w:rsid w:val="00D37828"/>
    <w:rsid w:val="00D37935"/>
    <w:rsid w:val="00D37E6D"/>
    <w:rsid w:val="00D409B3"/>
    <w:rsid w:val="00D4206D"/>
    <w:rsid w:val="00D43127"/>
    <w:rsid w:val="00D43E2A"/>
    <w:rsid w:val="00D440AA"/>
    <w:rsid w:val="00D44CC5"/>
    <w:rsid w:val="00D45112"/>
    <w:rsid w:val="00D457D3"/>
    <w:rsid w:val="00D457E6"/>
    <w:rsid w:val="00D464C5"/>
    <w:rsid w:val="00D46E8A"/>
    <w:rsid w:val="00D46F6C"/>
    <w:rsid w:val="00D47AED"/>
    <w:rsid w:val="00D50203"/>
    <w:rsid w:val="00D502F1"/>
    <w:rsid w:val="00D50CAC"/>
    <w:rsid w:val="00D50D74"/>
    <w:rsid w:val="00D50F5C"/>
    <w:rsid w:val="00D51225"/>
    <w:rsid w:val="00D512CB"/>
    <w:rsid w:val="00D5151D"/>
    <w:rsid w:val="00D51C0F"/>
    <w:rsid w:val="00D523EE"/>
    <w:rsid w:val="00D5256A"/>
    <w:rsid w:val="00D5340F"/>
    <w:rsid w:val="00D53A7C"/>
    <w:rsid w:val="00D53E39"/>
    <w:rsid w:val="00D547C2"/>
    <w:rsid w:val="00D54BB8"/>
    <w:rsid w:val="00D558AE"/>
    <w:rsid w:val="00D56CC3"/>
    <w:rsid w:val="00D56DF3"/>
    <w:rsid w:val="00D60928"/>
    <w:rsid w:val="00D618B0"/>
    <w:rsid w:val="00D62C2C"/>
    <w:rsid w:val="00D63043"/>
    <w:rsid w:val="00D63211"/>
    <w:rsid w:val="00D63963"/>
    <w:rsid w:val="00D63CD9"/>
    <w:rsid w:val="00D641CB"/>
    <w:rsid w:val="00D65678"/>
    <w:rsid w:val="00D65E3A"/>
    <w:rsid w:val="00D666EF"/>
    <w:rsid w:val="00D6696D"/>
    <w:rsid w:val="00D67304"/>
    <w:rsid w:val="00D67F51"/>
    <w:rsid w:val="00D7010B"/>
    <w:rsid w:val="00D70207"/>
    <w:rsid w:val="00D70BEE"/>
    <w:rsid w:val="00D71502"/>
    <w:rsid w:val="00D719D5"/>
    <w:rsid w:val="00D71CBA"/>
    <w:rsid w:val="00D71EC1"/>
    <w:rsid w:val="00D720DA"/>
    <w:rsid w:val="00D7256A"/>
    <w:rsid w:val="00D729E3"/>
    <w:rsid w:val="00D741D4"/>
    <w:rsid w:val="00D7447C"/>
    <w:rsid w:val="00D744B9"/>
    <w:rsid w:val="00D75429"/>
    <w:rsid w:val="00D7607C"/>
    <w:rsid w:val="00D766E4"/>
    <w:rsid w:val="00D76821"/>
    <w:rsid w:val="00D76BDD"/>
    <w:rsid w:val="00D76C25"/>
    <w:rsid w:val="00D773EA"/>
    <w:rsid w:val="00D774AA"/>
    <w:rsid w:val="00D80668"/>
    <w:rsid w:val="00D815C5"/>
    <w:rsid w:val="00D824DD"/>
    <w:rsid w:val="00D8251A"/>
    <w:rsid w:val="00D826B7"/>
    <w:rsid w:val="00D828EE"/>
    <w:rsid w:val="00D835B3"/>
    <w:rsid w:val="00D871E8"/>
    <w:rsid w:val="00D87AF7"/>
    <w:rsid w:val="00D87ED9"/>
    <w:rsid w:val="00D90E5E"/>
    <w:rsid w:val="00D9196B"/>
    <w:rsid w:val="00D93013"/>
    <w:rsid w:val="00D93252"/>
    <w:rsid w:val="00D932AD"/>
    <w:rsid w:val="00D93DC3"/>
    <w:rsid w:val="00D94FEA"/>
    <w:rsid w:val="00D9510A"/>
    <w:rsid w:val="00D95275"/>
    <w:rsid w:val="00D95A0D"/>
    <w:rsid w:val="00D95E2E"/>
    <w:rsid w:val="00D96F41"/>
    <w:rsid w:val="00D972DC"/>
    <w:rsid w:val="00D9761C"/>
    <w:rsid w:val="00D978BF"/>
    <w:rsid w:val="00D97A1D"/>
    <w:rsid w:val="00DA10B1"/>
    <w:rsid w:val="00DA125F"/>
    <w:rsid w:val="00DA1525"/>
    <w:rsid w:val="00DA1626"/>
    <w:rsid w:val="00DA1BEE"/>
    <w:rsid w:val="00DA1C72"/>
    <w:rsid w:val="00DA2010"/>
    <w:rsid w:val="00DA239C"/>
    <w:rsid w:val="00DA2FC0"/>
    <w:rsid w:val="00DA3297"/>
    <w:rsid w:val="00DA6B17"/>
    <w:rsid w:val="00DA6F15"/>
    <w:rsid w:val="00DA7EE2"/>
    <w:rsid w:val="00DB1B68"/>
    <w:rsid w:val="00DB23A3"/>
    <w:rsid w:val="00DB402C"/>
    <w:rsid w:val="00DB5EB7"/>
    <w:rsid w:val="00DB6868"/>
    <w:rsid w:val="00DB7673"/>
    <w:rsid w:val="00DC150D"/>
    <w:rsid w:val="00DC15F4"/>
    <w:rsid w:val="00DC206C"/>
    <w:rsid w:val="00DC27CA"/>
    <w:rsid w:val="00DC3C90"/>
    <w:rsid w:val="00DC3D57"/>
    <w:rsid w:val="00DC4B12"/>
    <w:rsid w:val="00DC561F"/>
    <w:rsid w:val="00DC5739"/>
    <w:rsid w:val="00DC599D"/>
    <w:rsid w:val="00DC5A50"/>
    <w:rsid w:val="00DC5C6E"/>
    <w:rsid w:val="00DC5F5F"/>
    <w:rsid w:val="00DC60AA"/>
    <w:rsid w:val="00DC69B6"/>
    <w:rsid w:val="00DC6CE1"/>
    <w:rsid w:val="00DC6D24"/>
    <w:rsid w:val="00DC718B"/>
    <w:rsid w:val="00DC7283"/>
    <w:rsid w:val="00DC7DBE"/>
    <w:rsid w:val="00DD03A4"/>
    <w:rsid w:val="00DD03E0"/>
    <w:rsid w:val="00DD0D37"/>
    <w:rsid w:val="00DD0F8E"/>
    <w:rsid w:val="00DD148D"/>
    <w:rsid w:val="00DD1C9E"/>
    <w:rsid w:val="00DD2844"/>
    <w:rsid w:val="00DD3080"/>
    <w:rsid w:val="00DD5571"/>
    <w:rsid w:val="00DD5CAB"/>
    <w:rsid w:val="00DD6F03"/>
    <w:rsid w:val="00DD70C2"/>
    <w:rsid w:val="00DD7D07"/>
    <w:rsid w:val="00DD7E6E"/>
    <w:rsid w:val="00DD7EED"/>
    <w:rsid w:val="00DE02D9"/>
    <w:rsid w:val="00DE0A4D"/>
    <w:rsid w:val="00DE1169"/>
    <w:rsid w:val="00DE1A18"/>
    <w:rsid w:val="00DE1DB1"/>
    <w:rsid w:val="00DE260D"/>
    <w:rsid w:val="00DE29C0"/>
    <w:rsid w:val="00DE3985"/>
    <w:rsid w:val="00DE3EFF"/>
    <w:rsid w:val="00DE3F7C"/>
    <w:rsid w:val="00DE47EE"/>
    <w:rsid w:val="00DE4A29"/>
    <w:rsid w:val="00DE4F98"/>
    <w:rsid w:val="00DE55B3"/>
    <w:rsid w:val="00DE5A6B"/>
    <w:rsid w:val="00DE6965"/>
    <w:rsid w:val="00DE78FF"/>
    <w:rsid w:val="00DF075D"/>
    <w:rsid w:val="00DF15C4"/>
    <w:rsid w:val="00DF1799"/>
    <w:rsid w:val="00DF1AAE"/>
    <w:rsid w:val="00DF3317"/>
    <w:rsid w:val="00DF3817"/>
    <w:rsid w:val="00DF392A"/>
    <w:rsid w:val="00DF3F55"/>
    <w:rsid w:val="00DF57B5"/>
    <w:rsid w:val="00DF59F0"/>
    <w:rsid w:val="00DF5E39"/>
    <w:rsid w:val="00DF5F25"/>
    <w:rsid w:val="00DF669F"/>
    <w:rsid w:val="00DF6F19"/>
    <w:rsid w:val="00DF6F37"/>
    <w:rsid w:val="00DF7249"/>
    <w:rsid w:val="00DF72F9"/>
    <w:rsid w:val="00DF78D5"/>
    <w:rsid w:val="00E004F7"/>
    <w:rsid w:val="00E00D85"/>
    <w:rsid w:val="00E011EE"/>
    <w:rsid w:val="00E0220F"/>
    <w:rsid w:val="00E02468"/>
    <w:rsid w:val="00E02EE1"/>
    <w:rsid w:val="00E04368"/>
    <w:rsid w:val="00E04B81"/>
    <w:rsid w:val="00E04FBE"/>
    <w:rsid w:val="00E057A9"/>
    <w:rsid w:val="00E05EF3"/>
    <w:rsid w:val="00E0718F"/>
    <w:rsid w:val="00E11E7C"/>
    <w:rsid w:val="00E12575"/>
    <w:rsid w:val="00E12809"/>
    <w:rsid w:val="00E12930"/>
    <w:rsid w:val="00E1397C"/>
    <w:rsid w:val="00E14BDC"/>
    <w:rsid w:val="00E16398"/>
    <w:rsid w:val="00E163AC"/>
    <w:rsid w:val="00E165FD"/>
    <w:rsid w:val="00E16918"/>
    <w:rsid w:val="00E16F57"/>
    <w:rsid w:val="00E173D2"/>
    <w:rsid w:val="00E17A15"/>
    <w:rsid w:val="00E20043"/>
    <w:rsid w:val="00E202E4"/>
    <w:rsid w:val="00E20553"/>
    <w:rsid w:val="00E20F05"/>
    <w:rsid w:val="00E20F0F"/>
    <w:rsid w:val="00E21249"/>
    <w:rsid w:val="00E22B0F"/>
    <w:rsid w:val="00E2341E"/>
    <w:rsid w:val="00E23819"/>
    <w:rsid w:val="00E2486D"/>
    <w:rsid w:val="00E27760"/>
    <w:rsid w:val="00E27980"/>
    <w:rsid w:val="00E306F5"/>
    <w:rsid w:val="00E31319"/>
    <w:rsid w:val="00E31B7F"/>
    <w:rsid w:val="00E32417"/>
    <w:rsid w:val="00E328D7"/>
    <w:rsid w:val="00E33BC8"/>
    <w:rsid w:val="00E34D3F"/>
    <w:rsid w:val="00E34E37"/>
    <w:rsid w:val="00E34F76"/>
    <w:rsid w:val="00E36335"/>
    <w:rsid w:val="00E36CA1"/>
    <w:rsid w:val="00E37342"/>
    <w:rsid w:val="00E37868"/>
    <w:rsid w:val="00E37A55"/>
    <w:rsid w:val="00E37F83"/>
    <w:rsid w:val="00E40715"/>
    <w:rsid w:val="00E40AA4"/>
    <w:rsid w:val="00E41A33"/>
    <w:rsid w:val="00E42A49"/>
    <w:rsid w:val="00E42E2E"/>
    <w:rsid w:val="00E4313F"/>
    <w:rsid w:val="00E43D11"/>
    <w:rsid w:val="00E43D6F"/>
    <w:rsid w:val="00E43ED8"/>
    <w:rsid w:val="00E4487C"/>
    <w:rsid w:val="00E44D41"/>
    <w:rsid w:val="00E44F63"/>
    <w:rsid w:val="00E455C5"/>
    <w:rsid w:val="00E45F11"/>
    <w:rsid w:val="00E46A9A"/>
    <w:rsid w:val="00E46B9F"/>
    <w:rsid w:val="00E46CFF"/>
    <w:rsid w:val="00E475A2"/>
    <w:rsid w:val="00E475F9"/>
    <w:rsid w:val="00E477B7"/>
    <w:rsid w:val="00E47ACF"/>
    <w:rsid w:val="00E47C08"/>
    <w:rsid w:val="00E51945"/>
    <w:rsid w:val="00E5302D"/>
    <w:rsid w:val="00E5343A"/>
    <w:rsid w:val="00E5502B"/>
    <w:rsid w:val="00E60878"/>
    <w:rsid w:val="00E60A02"/>
    <w:rsid w:val="00E6184F"/>
    <w:rsid w:val="00E623BF"/>
    <w:rsid w:val="00E63354"/>
    <w:rsid w:val="00E640DE"/>
    <w:rsid w:val="00E64BF4"/>
    <w:rsid w:val="00E64D09"/>
    <w:rsid w:val="00E6597E"/>
    <w:rsid w:val="00E65E54"/>
    <w:rsid w:val="00E6616B"/>
    <w:rsid w:val="00E66584"/>
    <w:rsid w:val="00E66F9C"/>
    <w:rsid w:val="00E67498"/>
    <w:rsid w:val="00E6750F"/>
    <w:rsid w:val="00E676B0"/>
    <w:rsid w:val="00E67E71"/>
    <w:rsid w:val="00E700CA"/>
    <w:rsid w:val="00E70215"/>
    <w:rsid w:val="00E71213"/>
    <w:rsid w:val="00E71D48"/>
    <w:rsid w:val="00E71DC5"/>
    <w:rsid w:val="00E72329"/>
    <w:rsid w:val="00E7294B"/>
    <w:rsid w:val="00E75137"/>
    <w:rsid w:val="00E75551"/>
    <w:rsid w:val="00E76362"/>
    <w:rsid w:val="00E7668F"/>
    <w:rsid w:val="00E76BD4"/>
    <w:rsid w:val="00E76BE0"/>
    <w:rsid w:val="00E77D54"/>
    <w:rsid w:val="00E77F7C"/>
    <w:rsid w:val="00E80361"/>
    <w:rsid w:val="00E81D7B"/>
    <w:rsid w:val="00E823A1"/>
    <w:rsid w:val="00E82481"/>
    <w:rsid w:val="00E82E46"/>
    <w:rsid w:val="00E82E9F"/>
    <w:rsid w:val="00E82FBA"/>
    <w:rsid w:val="00E8340B"/>
    <w:rsid w:val="00E8430A"/>
    <w:rsid w:val="00E84FC2"/>
    <w:rsid w:val="00E8688E"/>
    <w:rsid w:val="00E8697B"/>
    <w:rsid w:val="00E86AF0"/>
    <w:rsid w:val="00E86BF4"/>
    <w:rsid w:val="00E8710A"/>
    <w:rsid w:val="00E87674"/>
    <w:rsid w:val="00E9093C"/>
    <w:rsid w:val="00E92713"/>
    <w:rsid w:val="00E92FE2"/>
    <w:rsid w:val="00E9333E"/>
    <w:rsid w:val="00E93380"/>
    <w:rsid w:val="00E946AE"/>
    <w:rsid w:val="00E94736"/>
    <w:rsid w:val="00E94795"/>
    <w:rsid w:val="00E94B1A"/>
    <w:rsid w:val="00E95056"/>
    <w:rsid w:val="00E95330"/>
    <w:rsid w:val="00E954E3"/>
    <w:rsid w:val="00E97319"/>
    <w:rsid w:val="00E974FA"/>
    <w:rsid w:val="00E978FE"/>
    <w:rsid w:val="00E979D9"/>
    <w:rsid w:val="00E97B3D"/>
    <w:rsid w:val="00E97BB3"/>
    <w:rsid w:val="00EA02BD"/>
    <w:rsid w:val="00EA0471"/>
    <w:rsid w:val="00EA05D5"/>
    <w:rsid w:val="00EA1995"/>
    <w:rsid w:val="00EA1A2E"/>
    <w:rsid w:val="00EA1F0B"/>
    <w:rsid w:val="00EA226E"/>
    <w:rsid w:val="00EA2458"/>
    <w:rsid w:val="00EA2BA1"/>
    <w:rsid w:val="00EA2EFA"/>
    <w:rsid w:val="00EA2F4A"/>
    <w:rsid w:val="00EA3BA7"/>
    <w:rsid w:val="00EA4667"/>
    <w:rsid w:val="00EA4D91"/>
    <w:rsid w:val="00EA5CFA"/>
    <w:rsid w:val="00EA5DDD"/>
    <w:rsid w:val="00EA5E94"/>
    <w:rsid w:val="00EA6488"/>
    <w:rsid w:val="00EA7443"/>
    <w:rsid w:val="00EA7B98"/>
    <w:rsid w:val="00EB11B9"/>
    <w:rsid w:val="00EB15C3"/>
    <w:rsid w:val="00EB1AD5"/>
    <w:rsid w:val="00EB256F"/>
    <w:rsid w:val="00EB3DFD"/>
    <w:rsid w:val="00EB455D"/>
    <w:rsid w:val="00EB4C96"/>
    <w:rsid w:val="00EB4E53"/>
    <w:rsid w:val="00EB533D"/>
    <w:rsid w:val="00EB6642"/>
    <w:rsid w:val="00EB6D12"/>
    <w:rsid w:val="00EB6EAD"/>
    <w:rsid w:val="00EB7320"/>
    <w:rsid w:val="00EB780E"/>
    <w:rsid w:val="00EB7ABE"/>
    <w:rsid w:val="00EC01D7"/>
    <w:rsid w:val="00EC054F"/>
    <w:rsid w:val="00EC19E5"/>
    <w:rsid w:val="00EC1A48"/>
    <w:rsid w:val="00EC3E56"/>
    <w:rsid w:val="00EC4747"/>
    <w:rsid w:val="00EC52F7"/>
    <w:rsid w:val="00EC5736"/>
    <w:rsid w:val="00EC610C"/>
    <w:rsid w:val="00EC63EC"/>
    <w:rsid w:val="00EC67F0"/>
    <w:rsid w:val="00EC76ED"/>
    <w:rsid w:val="00ED037C"/>
    <w:rsid w:val="00ED0749"/>
    <w:rsid w:val="00ED081A"/>
    <w:rsid w:val="00ED2278"/>
    <w:rsid w:val="00ED2291"/>
    <w:rsid w:val="00ED4A83"/>
    <w:rsid w:val="00ED4CAE"/>
    <w:rsid w:val="00ED601B"/>
    <w:rsid w:val="00ED77CF"/>
    <w:rsid w:val="00ED7CB9"/>
    <w:rsid w:val="00EE01AE"/>
    <w:rsid w:val="00EE07C0"/>
    <w:rsid w:val="00EE1DB2"/>
    <w:rsid w:val="00EE1DEE"/>
    <w:rsid w:val="00EE28D8"/>
    <w:rsid w:val="00EE3061"/>
    <w:rsid w:val="00EE3F20"/>
    <w:rsid w:val="00EE4DC7"/>
    <w:rsid w:val="00EE52AC"/>
    <w:rsid w:val="00EE5F9A"/>
    <w:rsid w:val="00EE648C"/>
    <w:rsid w:val="00EE687D"/>
    <w:rsid w:val="00EE72F1"/>
    <w:rsid w:val="00EF033D"/>
    <w:rsid w:val="00EF0521"/>
    <w:rsid w:val="00EF256C"/>
    <w:rsid w:val="00EF2CA2"/>
    <w:rsid w:val="00EF2D96"/>
    <w:rsid w:val="00EF31E3"/>
    <w:rsid w:val="00EF32CB"/>
    <w:rsid w:val="00EF44C4"/>
    <w:rsid w:val="00EF5682"/>
    <w:rsid w:val="00EF5743"/>
    <w:rsid w:val="00EF5A3A"/>
    <w:rsid w:val="00EF727A"/>
    <w:rsid w:val="00EF7301"/>
    <w:rsid w:val="00EF7329"/>
    <w:rsid w:val="00EF7570"/>
    <w:rsid w:val="00EF7575"/>
    <w:rsid w:val="00EF761B"/>
    <w:rsid w:val="00F0008E"/>
    <w:rsid w:val="00F0103C"/>
    <w:rsid w:val="00F02122"/>
    <w:rsid w:val="00F0225D"/>
    <w:rsid w:val="00F02594"/>
    <w:rsid w:val="00F0372A"/>
    <w:rsid w:val="00F03798"/>
    <w:rsid w:val="00F03A64"/>
    <w:rsid w:val="00F03CB0"/>
    <w:rsid w:val="00F05CA9"/>
    <w:rsid w:val="00F05DE2"/>
    <w:rsid w:val="00F05E87"/>
    <w:rsid w:val="00F06160"/>
    <w:rsid w:val="00F06436"/>
    <w:rsid w:val="00F06653"/>
    <w:rsid w:val="00F06D62"/>
    <w:rsid w:val="00F073AA"/>
    <w:rsid w:val="00F07988"/>
    <w:rsid w:val="00F07ABB"/>
    <w:rsid w:val="00F11A71"/>
    <w:rsid w:val="00F129CF"/>
    <w:rsid w:val="00F129F0"/>
    <w:rsid w:val="00F12D5D"/>
    <w:rsid w:val="00F13A83"/>
    <w:rsid w:val="00F14528"/>
    <w:rsid w:val="00F1478C"/>
    <w:rsid w:val="00F156EC"/>
    <w:rsid w:val="00F16D81"/>
    <w:rsid w:val="00F1727D"/>
    <w:rsid w:val="00F20460"/>
    <w:rsid w:val="00F21DD6"/>
    <w:rsid w:val="00F22275"/>
    <w:rsid w:val="00F22BF6"/>
    <w:rsid w:val="00F234E0"/>
    <w:rsid w:val="00F23C8D"/>
    <w:rsid w:val="00F23CB3"/>
    <w:rsid w:val="00F23E31"/>
    <w:rsid w:val="00F2478F"/>
    <w:rsid w:val="00F24894"/>
    <w:rsid w:val="00F24F6D"/>
    <w:rsid w:val="00F251EA"/>
    <w:rsid w:val="00F25239"/>
    <w:rsid w:val="00F256CC"/>
    <w:rsid w:val="00F25F13"/>
    <w:rsid w:val="00F26CEE"/>
    <w:rsid w:val="00F277E2"/>
    <w:rsid w:val="00F27B6D"/>
    <w:rsid w:val="00F300EC"/>
    <w:rsid w:val="00F30526"/>
    <w:rsid w:val="00F31025"/>
    <w:rsid w:val="00F322BE"/>
    <w:rsid w:val="00F3236A"/>
    <w:rsid w:val="00F32FCC"/>
    <w:rsid w:val="00F33635"/>
    <w:rsid w:val="00F33B7E"/>
    <w:rsid w:val="00F34557"/>
    <w:rsid w:val="00F35085"/>
    <w:rsid w:val="00F3535A"/>
    <w:rsid w:val="00F35DD7"/>
    <w:rsid w:val="00F37225"/>
    <w:rsid w:val="00F403BC"/>
    <w:rsid w:val="00F40950"/>
    <w:rsid w:val="00F40F5E"/>
    <w:rsid w:val="00F41E3A"/>
    <w:rsid w:val="00F42477"/>
    <w:rsid w:val="00F425C3"/>
    <w:rsid w:val="00F42B64"/>
    <w:rsid w:val="00F4305E"/>
    <w:rsid w:val="00F433D9"/>
    <w:rsid w:val="00F449D5"/>
    <w:rsid w:val="00F44B03"/>
    <w:rsid w:val="00F44FA3"/>
    <w:rsid w:val="00F45628"/>
    <w:rsid w:val="00F45BFE"/>
    <w:rsid w:val="00F471B2"/>
    <w:rsid w:val="00F472C5"/>
    <w:rsid w:val="00F47B84"/>
    <w:rsid w:val="00F5020F"/>
    <w:rsid w:val="00F5055E"/>
    <w:rsid w:val="00F50B36"/>
    <w:rsid w:val="00F516E9"/>
    <w:rsid w:val="00F51DE1"/>
    <w:rsid w:val="00F5321E"/>
    <w:rsid w:val="00F5362C"/>
    <w:rsid w:val="00F54996"/>
    <w:rsid w:val="00F54C2E"/>
    <w:rsid w:val="00F556DE"/>
    <w:rsid w:val="00F56579"/>
    <w:rsid w:val="00F60DD2"/>
    <w:rsid w:val="00F6172F"/>
    <w:rsid w:val="00F61B47"/>
    <w:rsid w:val="00F62E7C"/>
    <w:rsid w:val="00F63FD2"/>
    <w:rsid w:val="00F63FDD"/>
    <w:rsid w:val="00F65302"/>
    <w:rsid w:val="00F65C72"/>
    <w:rsid w:val="00F66853"/>
    <w:rsid w:val="00F67AAC"/>
    <w:rsid w:val="00F70613"/>
    <w:rsid w:val="00F71343"/>
    <w:rsid w:val="00F715ED"/>
    <w:rsid w:val="00F718E4"/>
    <w:rsid w:val="00F72662"/>
    <w:rsid w:val="00F72EDA"/>
    <w:rsid w:val="00F730D6"/>
    <w:rsid w:val="00F7320D"/>
    <w:rsid w:val="00F733E3"/>
    <w:rsid w:val="00F737D9"/>
    <w:rsid w:val="00F73C29"/>
    <w:rsid w:val="00F73E87"/>
    <w:rsid w:val="00F743FD"/>
    <w:rsid w:val="00F74781"/>
    <w:rsid w:val="00F750BC"/>
    <w:rsid w:val="00F75B28"/>
    <w:rsid w:val="00F770F9"/>
    <w:rsid w:val="00F774B2"/>
    <w:rsid w:val="00F802F7"/>
    <w:rsid w:val="00F81113"/>
    <w:rsid w:val="00F81128"/>
    <w:rsid w:val="00F812F1"/>
    <w:rsid w:val="00F816E9"/>
    <w:rsid w:val="00F83736"/>
    <w:rsid w:val="00F84120"/>
    <w:rsid w:val="00F84982"/>
    <w:rsid w:val="00F84FC7"/>
    <w:rsid w:val="00F85AD5"/>
    <w:rsid w:val="00F86A72"/>
    <w:rsid w:val="00F87591"/>
    <w:rsid w:val="00F87BF7"/>
    <w:rsid w:val="00F900F4"/>
    <w:rsid w:val="00F9077B"/>
    <w:rsid w:val="00F90A89"/>
    <w:rsid w:val="00F90E32"/>
    <w:rsid w:val="00F916E8"/>
    <w:rsid w:val="00F9175C"/>
    <w:rsid w:val="00F91B1D"/>
    <w:rsid w:val="00F91E62"/>
    <w:rsid w:val="00F929A0"/>
    <w:rsid w:val="00F93A85"/>
    <w:rsid w:val="00F95673"/>
    <w:rsid w:val="00F956A1"/>
    <w:rsid w:val="00F97110"/>
    <w:rsid w:val="00F972C1"/>
    <w:rsid w:val="00FA0223"/>
    <w:rsid w:val="00FA0479"/>
    <w:rsid w:val="00FA0867"/>
    <w:rsid w:val="00FA0D89"/>
    <w:rsid w:val="00FA0ECA"/>
    <w:rsid w:val="00FA1377"/>
    <w:rsid w:val="00FA17F1"/>
    <w:rsid w:val="00FA1A5E"/>
    <w:rsid w:val="00FA1D8C"/>
    <w:rsid w:val="00FA2369"/>
    <w:rsid w:val="00FA37A4"/>
    <w:rsid w:val="00FA43CF"/>
    <w:rsid w:val="00FA4B9D"/>
    <w:rsid w:val="00FA6205"/>
    <w:rsid w:val="00FA6792"/>
    <w:rsid w:val="00FA6E97"/>
    <w:rsid w:val="00FA7B12"/>
    <w:rsid w:val="00FB0019"/>
    <w:rsid w:val="00FB155A"/>
    <w:rsid w:val="00FB18EF"/>
    <w:rsid w:val="00FB2B55"/>
    <w:rsid w:val="00FB3252"/>
    <w:rsid w:val="00FB36FF"/>
    <w:rsid w:val="00FB3DBC"/>
    <w:rsid w:val="00FB41EA"/>
    <w:rsid w:val="00FB4987"/>
    <w:rsid w:val="00FB59E9"/>
    <w:rsid w:val="00FB5B20"/>
    <w:rsid w:val="00FB7171"/>
    <w:rsid w:val="00FB726C"/>
    <w:rsid w:val="00FB7A4E"/>
    <w:rsid w:val="00FB7ACB"/>
    <w:rsid w:val="00FC0DC7"/>
    <w:rsid w:val="00FC2064"/>
    <w:rsid w:val="00FC2737"/>
    <w:rsid w:val="00FC2DE0"/>
    <w:rsid w:val="00FC3009"/>
    <w:rsid w:val="00FC3A25"/>
    <w:rsid w:val="00FC3F74"/>
    <w:rsid w:val="00FC4E98"/>
    <w:rsid w:val="00FC5658"/>
    <w:rsid w:val="00FC57BB"/>
    <w:rsid w:val="00FC5B04"/>
    <w:rsid w:val="00FC5D25"/>
    <w:rsid w:val="00FC6E61"/>
    <w:rsid w:val="00FC7958"/>
    <w:rsid w:val="00FD0B95"/>
    <w:rsid w:val="00FD12E0"/>
    <w:rsid w:val="00FD138E"/>
    <w:rsid w:val="00FD25C5"/>
    <w:rsid w:val="00FD2930"/>
    <w:rsid w:val="00FD2DE4"/>
    <w:rsid w:val="00FD371B"/>
    <w:rsid w:val="00FD4793"/>
    <w:rsid w:val="00FD4BAD"/>
    <w:rsid w:val="00FD4D97"/>
    <w:rsid w:val="00FD51B7"/>
    <w:rsid w:val="00FD63DF"/>
    <w:rsid w:val="00FD73E0"/>
    <w:rsid w:val="00FE0A4F"/>
    <w:rsid w:val="00FE0D67"/>
    <w:rsid w:val="00FE1BE6"/>
    <w:rsid w:val="00FE277F"/>
    <w:rsid w:val="00FE2E00"/>
    <w:rsid w:val="00FE2F76"/>
    <w:rsid w:val="00FE403A"/>
    <w:rsid w:val="00FE45C2"/>
    <w:rsid w:val="00FE4766"/>
    <w:rsid w:val="00FE47DD"/>
    <w:rsid w:val="00FE50F8"/>
    <w:rsid w:val="00FE539D"/>
    <w:rsid w:val="00FE549C"/>
    <w:rsid w:val="00FE5676"/>
    <w:rsid w:val="00FE59A1"/>
    <w:rsid w:val="00FE6241"/>
    <w:rsid w:val="00FE7A5C"/>
    <w:rsid w:val="00FE7FAF"/>
    <w:rsid w:val="00FF04A0"/>
    <w:rsid w:val="00FF0560"/>
    <w:rsid w:val="00FF0858"/>
    <w:rsid w:val="00FF1FF4"/>
    <w:rsid w:val="00FF237A"/>
    <w:rsid w:val="00FF2B42"/>
    <w:rsid w:val="00FF3300"/>
    <w:rsid w:val="00FF3D69"/>
    <w:rsid w:val="00FF3EF1"/>
    <w:rsid w:val="00FF3F67"/>
    <w:rsid w:val="00FF3F86"/>
    <w:rsid w:val="00FF42AC"/>
    <w:rsid w:val="00FF466B"/>
    <w:rsid w:val="00FF48C9"/>
    <w:rsid w:val="00FF4D8F"/>
    <w:rsid w:val="00FF5124"/>
    <w:rsid w:val="00FF5237"/>
    <w:rsid w:val="00FF5F1C"/>
    <w:rsid w:val="00FF6F84"/>
    <w:rsid w:val="00FF780B"/>
    <w:rsid w:val="0110471E"/>
    <w:rsid w:val="016AC152"/>
    <w:rsid w:val="0176A403"/>
    <w:rsid w:val="01EAFFF8"/>
    <w:rsid w:val="023DFC04"/>
    <w:rsid w:val="041459B4"/>
    <w:rsid w:val="049E18C8"/>
    <w:rsid w:val="04B63622"/>
    <w:rsid w:val="057F2447"/>
    <w:rsid w:val="0583B63D"/>
    <w:rsid w:val="05E146A7"/>
    <w:rsid w:val="0603FCED"/>
    <w:rsid w:val="0613DD75"/>
    <w:rsid w:val="06255E1E"/>
    <w:rsid w:val="067EE5DD"/>
    <w:rsid w:val="07169D5B"/>
    <w:rsid w:val="07E8E46E"/>
    <w:rsid w:val="0886E106"/>
    <w:rsid w:val="08C20FF8"/>
    <w:rsid w:val="08F3B710"/>
    <w:rsid w:val="0938BE50"/>
    <w:rsid w:val="09655B47"/>
    <w:rsid w:val="0B4E1966"/>
    <w:rsid w:val="0B990B75"/>
    <w:rsid w:val="0BEB4A91"/>
    <w:rsid w:val="0C4126F8"/>
    <w:rsid w:val="0C6C5C57"/>
    <w:rsid w:val="0C8CF4F1"/>
    <w:rsid w:val="0CDEA80E"/>
    <w:rsid w:val="0DFC6A36"/>
    <w:rsid w:val="0E079D9E"/>
    <w:rsid w:val="0E8C682D"/>
    <w:rsid w:val="0EFDF730"/>
    <w:rsid w:val="0F21333F"/>
    <w:rsid w:val="0F74B893"/>
    <w:rsid w:val="0F91B4E9"/>
    <w:rsid w:val="110E17B2"/>
    <w:rsid w:val="127D626A"/>
    <w:rsid w:val="12AFD503"/>
    <w:rsid w:val="12DA923D"/>
    <w:rsid w:val="13A07882"/>
    <w:rsid w:val="145609D9"/>
    <w:rsid w:val="147F1EF6"/>
    <w:rsid w:val="14A32500"/>
    <w:rsid w:val="1519762A"/>
    <w:rsid w:val="15537ED1"/>
    <w:rsid w:val="1576CD54"/>
    <w:rsid w:val="16559FA4"/>
    <w:rsid w:val="16F35908"/>
    <w:rsid w:val="1710DE53"/>
    <w:rsid w:val="1713B973"/>
    <w:rsid w:val="17445CD8"/>
    <w:rsid w:val="17B78D1B"/>
    <w:rsid w:val="18779B5D"/>
    <w:rsid w:val="18DA9122"/>
    <w:rsid w:val="18F466E7"/>
    <w:rsid w:val="1A4088A0"/>
    <w:rsid w:val="1AC30670"/>
    <w:rsid w:val="1ACF3480"/>
    <w:rsid w:val="1B26A1ED"/>
    <w:rsid w:val="1BE4D717"/>
    <w:rsid w:val="1C25A7B8"/>
    <w:rsid w:val="1C726D56"/>
    <w:rsid w:val="1CDC76D5"/>
    <w:rsid w:val="1CEDFBFD"/>
    <w:rsid w:val="1D0A80A9"/>
    <w:rsid w:val="1D490513"/>
    <w:rsid w:val="1E003BEF"/>
    <w:rsid w:val="1E99006C"/>
    <w:rsid w:val="1EDCA8E3"/>
    <w:rsid w:val="2086A93F"/>
    <w:rsid w:val="2098DEAC"/>
    <w:rsid w:val="216BC430"/>
    <w:rsid w:val="21EC4E65"/>
    <w:rsid w:val="2202EFFA"/>
    <w:rsid w:val="226D027F"/>
    <w:rsid w:val="22839EB7"/>
    <w:rsid w:val="22E0C227"/>
    <w:rsid w:val="230A4C48"/>
    <w:rsid w:val="232BF7F5"/>
    <w:rsid w:val="23ADBD62"/>
    <w:rsid w:val="246AAC88"/>
    <w:rsid w:val="24E4BA9A"/>
    <w:rsid w:val="252F5CF3"/>
    <w:rsid w:val="255F6B91"/>
    <w:rsid w:val="262CDEAD"/>
    <w:rsid w:val="26C875A7"/>
    <w:rsid w:val="271BCFDB"/>
    <w:rsid w:val="277D1E57"/>
    <w:rsid w:val="2833C5A1"/>
    <w:rsid w:val="288F2154"/>
    <w:rsid w:val="28C51E7B"/>
    <w:rsid w:val="28F6D6E5"/>
    <w:rsid w:val="28F7B6D9"/>
    <w:rsid w:val="29EE5771"/>
    <w:rsid w:val="29FFF679"/>
    <w:rsid w:val="2A89D648"/>
    <w:rsid w:val="2AF0551A"/>
    <w:rsid w:val="2AFAA885"/>
    <w:rsid w:val="2B5EA29B"/>
    <w:rsid w:val="2B8BB27D"/>
    <w:rsid w:val="2C0FB758"/>
    <w:rsid w:val="2C19CF74"/>
    <w:rsid w:val="2CB33CFF"/>
    <w:rsid w:val="2D290130"/>
    <w:rsid w:val="2D2C2C5D"/>
    <w:rsid w:val="2F86779C"/>
    <w:rsid w:val="302DCB3E"/>
    <w:rsid w:val="30D1D035"/>
    <w:rsid w:val="312748F1"/>
    <w:rsid w:val="313303EF"/>
    <w:rsid w:val="31C803BA"/>
    <w:rsid w:val="3391D2D3"/>
    <w:rsid w:val="33B33F78"/>
    <w:rsid w:val="3414A17C"/>
    <w:rsid w:val="34E49025"/>
    <w:rsid w:val="3568321D"/>
    <w:rsid w:val="35C7F64F"/>
    <w:rsid w:val="35F05F15"/>
    <w:rsid w:val="366EFB10"/>
    <w:rsid w:val="3751DD98"/>
    <w:rsid w:val="37FF29B3"/>
    <w:rsid w:val="38688CB7"/>
    <w:rsid w:val="39665D85"/>
    <w:rsid w:val="39C4FF50"/>
    <w:rsid w:val="3A72E105"/>
    <w:rsid w:val="3AAD7ECB"/>
    <w:rsid w:val="3B2D7AEA"/>
    <w:rsid w:val="3B626752"/>
    <w:rsid w:val="3B6EEF8F"/>
    <w:rsid w:val="3C1A7E80"/>
    <w:rsid w:val="3C204F1A"/>
    <w:rsid w:val="3C2F8729"/>
    <w:rsid w:val="3C835817"/>
    <w:rsid w:val="3D0DF31A"/>
    <w:rsid w:val="3D484A74"/>
    <w:rsid w:val="3DED0348"/>
    <w:rsid w:val="3DEE26EE"/>
    <w:rsid w:val="3E1F37C5"/>
    <w:rsid w:val="3E437394"/>
    <w:rsid w:val="3E4AF02F"/>
    <w:rsid w:val="3E86EB53"/>
    <w:rsid w:val="3EE110FC"/>
    <w:rsid w:val="3EE6E197"/>
    <w:rsid w:val="3EEF91FE"/>
    <w:rsid w:val="4001D78A"/>
    <w:rsid w:val="402E7E8D"/>
    <w:rsid w:val="4162DBFD"/>
    <w:rsid w:val="422EC58A"/>
    <w:rsid w:val="42D1E329"/>
    <w:rsid w:val="434BFDA7"/>
    <w:rsid w:val="43BD708A"/>
    <w:rsid w:val="43C39258"/>
    <w:rsid w:val="44F6D8D6"/>
    <w:rsid w:val="456A434C"/>
    <w:rsid w:val="46278ED8"/>
    <w:rsid w:val="467CF478"/>
    <w:rsid w:val="467D013D"/>
    <w:rsid w:val="46B03768"/>
    <w:rsid w:val="46C22940"/>
    <w:rsid w:val="46F3E3DE"/>
    <w:rsid w:val="476449B2"/>
    <w:rsid w:val="47D1D7B6"/>
    <w:rsid w:val="47D6BFF2"/>
    <w:rsid w:val="4804B777"/>
    <w:rsid w:val="49951BDE"/>
    <w:rsid w:val="4A28CAE4"/>
    <w:rsid w:val="4A8043AD"/>
    <w:rsid w:val="4CE49459"/>
    <w:rsid w:val="4CEB5416"/>
    <w:rsid w:val="4D4F57B6"/>
    <w:rsid w:val="4D62C03A"/>
    <w:rsid w:val="4E0C9746"/>
    <w:rsid w:val="4E53AA5F"/>
    <w:rsid w:val="4E8AAE09"/>
    <w:rsid w:val="4E937572"/>
    <w:rsid w:val="4F439502"/>
    <w:rsid w:val="4FC21E06"/>
    <w:rsid w:val="4FCA9BB0"/>
    <w:rsid w:val="5002BA03"/>
    <w:rsid w:val="51BE9B78"/>
    <w:rsid w:val="5261DBFE"/>
    <w:rsid w:val="52FFF5D1"/>
    <w:rsid w:val="5458E814"/>
    <w:rsid w:val="5470855A"/>
    <w:rsid w:val="54AE08FB"/>
    <w:rsid w:val="54C0AEE0"/>
    <w:rsid w:val="5543E439"/>
    <w:rsid w:val="55923645"/>
    <w:rsid w:val="55AD5FBE"/>
    <w:rsid w:val="55EA478D"/>
    <w:rsid w:val="55FA14C1"/>
    <w:rsid w:val="560B5726"/>
    <w:rsid w:val="5679D1A1"/>
    <w:rsid w:val="5699746D"/>
    <w:rsid w:val="56DFB453"/>
    <w:rsid w:val="57A52E8E"/>
    <w:rsid w:val="57FD499B"/>
    <w:rsid w:val="57FFB8B5"/>
    <w:rsid w:val="581B4A44"/>
    <w:rsid w:val="585409B2"/>
    <w:rsid w:val="58840A3D"/>
    <w:rsid w:val="598EA4E4"/>
    <w:rsid w:val="5A6D44DE"/>
    <w:rsid w:val="5A8E704A"/>
    <w:rsid w:val="5B6995A1"/>
    <w:rsid w:val="5B85ECCD"/>
    <w:rsid w:val="5BAA9A33"/>
    <w:rsid w:val="5BDC5B2D"/>
    <w:rsid w:val="5D1AF131"/>
    <w:rsid w:val="5D4CF323"/>
    <w:rsid w:val="5D8E1AAB"/>
    <w:rsid w:val="5E09FBA6"/>
    <w:rsid w:val="5E55B0B4"/>
    <w:rsid w:val="5E76DC3B"/>
    <w:rsid w:val="5EFB7DC3"/>
    <w:rsid w:val="5F1990C0"/>
    <w:rsid w:val="5F5AC739"/>
    <w:rsid w:val="5FA25032"/>
    <w:rsid w:val="613CC41E"/>
    <w:rsid w:val="6158274E"/>
    <w:rsid w:val="617360DB"/>
    <w:rsid w:val="618FE82E"/>
    <w:rsid w:val="61D5464C"/>
    <w:rsid w:val="61F8873D"/>
    <w:rsid w:val="621D8CCD"/>
    <w:rsid w:val="6273D576"/>
    <w:rsid w:val="62BFA0D1"/>
    <w:rsid w:val="6329CB3B"/>
    <w:rsid w:val="6414A1A2"/>
    <w:rsid w:val="641794B4"/>
    <w:rsid w:val="6424EB5D"/>
    <w:rsid w:val="645649D1"/>
    <w:rsid w:val="650A564B"/>
    <w:rsid w:val="650F2DCE"/>
    <w:rsid w:val="651550CB"/>
    <w:rsid w:val="65465E50"/>
    <w:rsid w:val="65BAA1FC"/>
    <w:rsid w:val="65E0131F"/>
    <w:rsid w:val="65FE6461"/>
    <w:rsid w:val="66B23385"/>
    <w:rsid w:val="678527C9"/>
    <w:rsid w:val="67BE506F"/>
    <w:rsid w:val="67EC66A2"/>
    <w:rsid w:val="681EC2ED"/>
    <w:rsid w:val="682E87C1"/>
    <w:rsid w:val="6937F407"/>
    <w:rsid w:val="699B8135"/>
    <w:rsid w:val="69FAE097"/>
    <w:rsid w:val="6A192506"/>
    <w:rsid w:val="6A32B651"/>
    <w:rsid w:val="6A56BADF"/>
    <w:rsid w:val="6ADB9B2A"/>
    <w:rsid w:val="6AE8A7B7"/>
    <w:rsid w:val="6B1AEF1A"/>
    <w:rsid w:val="6B51CC71"/>
    <w:rsid w:val="6C13A87A"/>
    <w:rsid w:val="6C652566"/>
    <w:rsid w:val="6D8FD6F4"/>
    <w:rsid w:val="6D9DE128"/>
    <w:rsid w:val="6E8C3E7C"/>
    <w:rsid w:val="703E3C20"/>
    <w:rsid w:val="7068FFD2"/>
    <w:rsid w:val="70A69B11"/>
    <w:rsid w:val="71175FAA"/>
    <w:rsid w:val="713C9958"/>
    <w:rsid w:val="71760CE0"/>
    <w:rsid w:val="71BAB5F4"/>
    <w:rsid w:val="71DB86AA"/>
    <w:rsid w:val="71DEE10E"/>
    <w:rsid w:val="7278A7AE"/>
    <w:rsid w:val="72D610B5"/>
    <w:rsid w:val="73F67D54"/>
    <w:rsid w:val="74256C0C"/>
    <w:rsid w:val="7482C828"/>
    <w:rsid w:val="74D2576E"/>
    <w:rsid w:val="75D01640"/>
    <w:rsid w:val="764EC481"/>
    <w:rsid w:val="77EA9556"/>
    <w:rsid w:val="77EE8E5B"/>
    <w:rsid w:val="7805D258"/>
    <w:rsid w:val="789047D5"/>
    <w:rsid w:val="78923681"/>
    <w:rsid w:val="796CA8AE"/>
    <w:rsid w:val="79857979"/>
    <w:rsid w:val="7A8A2D3A"/>
    <w:rsid w:val="7A8B5144"/>
    <w:rsid w:val="7A8FDF50"/>
    <w:rsid w:val="7B380DCD"/>
    <w:rsid w:val="7BB78A75"/>
    <w:rsid w:val="7C1FED40"/>
    <w:rsid w:val="7C912361"/>
    <w:rsid w:val="7D9A268F"/>
    <w:rsid w:val="7DB90996"/>
    <w:rsid w:val="7DD3F742"/>
    <w:rsid w:val="7E6682C4"/>
    <w:rsid w:val="7EC392CC"/>
    <w:rsid w:val="7F1599BE"/>
    <w:rsid w:val="7F26CDDC"/>
    <w:rsid w:val="7F50B13C"/>
    <w:rsid w:val="7F8DDE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99C17D64-E891-450C-8880-4E966807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84C"/>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EF44C4"/>
    <w:pPr>
      <w:tabs>
        <w:tab w:val="left" w:pos="1320"/>
        <w:tab w:val="right" w:leader="dot" w:pos="9592"/>
      </w:tabs>
      <w:spacing w:after="100" w:line="276" w:lineRule="auto"/>
      <w:ind w:left="440"/>
      <w:jc w:val="left"/>
    </w:pPr>
    <w:rPr>
      <w:rFonts w:cs="Arial"/>
      <w:noProof/>
      <w:sz w:val="18"/>
      <w:szCs w:val="20"/>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 w:type="character" w:styleId="Mention">
    <w:name w:val="Mention"/>
    <w:basedOn w:val="DefaultParagraphFont"/>
    <w:uiPriority w:val="99"/>
    <w:unhideWhenUsed/>
    <w:rsid w:val="00C87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0768628">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0084978">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90467888">
      <w:bodyDiv w:val="1"/>
      <w:marLeft w:val="0"/>
      <w:marRight w:val="0"/>
      <w:marTop w:val="0"/>
      <w:marBottom w:val="0"/>
      <w:divBdr>
        <w:top w:val="none" w:sz="0" w:space="0" w:color="auto"/>
        <w:left w:val="none" w:sz="0" w:space="0" w:color="auto"/>
        <w:bottom w:val="none" w:sz="0" w:space="0" w:color="auto"/>
        <w:right w:val="none" w:sz="0" w:space="0" w:color="auto"/>
      </w:divBdr>
    </w:div>
    <w:div w:id="100345245">
      <w:bodyDiv w:val="1"/>
      <w:marLeft w:val="0"/>
      <w:marRight w:val="0"/>
      <w:marTop w:val="0"/>
      <w:marBottom w:val="0"/>
      <w:divBdr>
        <w:top w:val="none" w:sz="0" w:space="0" w:color="auto"/>
        <w:left w:val="none" w:sz="0" w:space="0" w:color="auto"/>
        <w:bottom w:val="none" w:sz="0" w:space="0" w:color="auto"/>
        <w:right w:val="none" w:sz="0" w:space="0" w:color="auto"/>
      </w:divBdr>
    </w:div>
    <w:div w:id="127629844">
      <w:bodyDiv w:val="1"/>
      <w:marLeft w:val="0"/>
      <w:marRight w:val="0"/>
      <w:marTop w:val="0"/>
      <w:marBottom w:val="0"/>
      <w:divBdr>
        <w:top w:val="none" w:sz="0" w:space="0" w:color="auto"/>
        <w:left w:val="none" w:sz="0" w:space="0" w:color="auto"/>
        <w:bottom w:val="none" w:sz="0" w:space="0" w:color="auto"/>
        <w:right w:val="none" w:sz="0" w:space="0" w:color="auto"/>
      </w:divBdr>
    </w:div>
    <w:div w:id="135342300">
      <w:bodyDiv w:val="1"/>
      <w:marLeft w:val="0"/>
      <w:marRight w:val="0"/>
      <w:marTop w:val="0"/>
      <w:marBottom w:val="0"/>
      <w:divBdr>
        <w:top w:val="none" w:sz="0" w:space="0" w:color="auto"/>
        <w:left w:val="none" w:sz="0" w:space="0" w:color="auto"/>
        <w:bottom w:val="none" w:sz="0" w:space="0" w:color="auto"/>
        <w:right w:val="none" w:sz="0" w:space="0" w:color="auto"/>
      </w:divBdr>
    </w:div>
    <w:div w:id="149827817">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32056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189339462">
      <w:bodyDiv w:val="1"/>
      <w:marLeft w:val="0"/>
      <w:marRight w:val="0"/>
      <w:marTop w:val="0"/>
      <w:marBottom w:val="0"/>
      <w:divBdr>
        <w:top w:val="none" w:sz="0" w:space="0" w:color="auto"/>
        <w:left w:val="none" w:sz="0" w:space="0" w:color="auto"/>
        <w:bottom w:val="none" w:sz="0" w:space="0" w:color="auto"/>
        <w:right w:val="none" w:sz="0" w:space="0" w:color="auto"/>
      </w:divBdr>
      <w:divsChild>
        <w:div w:id="801732373">
          <w:marLeft w:val="0"/>
          <w:marRight w:val="0"/>
          <w:marTop w:val="0"/>
          <w:marBottom w:val="0"/>
          <w:divBdr>
            <w:top w:val="none" w:sz="0" w:space="0" w:color="auto"/>
            <w:left w:val="none" w:sz="0" w:space="0" w:color="auto"/>
            <w:bottom w:val="none" w:sz="0" w:space="0" w:color="auto"/>
            <w:right w:val="none" w:sz="0" w:space="0" w:color="auto"/>
          </w:divBdr>
        </w:div>
      </w:divsChild>
    </w:div>
    <w:div w:id="195166683">
      <w:bodyDiv w:val="1"/>
      <w:marLeft w:val="0"/>
      <w:marRight w:val="0"/>
      <w:marTop w:val="0"/>
      <w:marBottom w:val="0"/>
      <w:divBdr>
        <w:top w:val="none" w:sz="0" w:space="0" w:color="auto"/>
        <w:left w:val="none" w:sz="0" w:space="0" w:color="auto"/>
        <w:bottom w:val="none" w:sz="0" w:space="0" w:color="auto"/>
        <w:right w:val="none" w:sz="0" w:space="0" w:color="auto"/>
      </w:divBdr>
    </w:div>
    <w:div w:id="201290119">
      <w:bodyDiv w:val="1"/>
      <w:marLeft w:val="0"/>
      <w:marRight w:val="0"/>
      <w:marTop w:val="0"/>
      <w:marBottom w:val="0"/>
      <w:divBdr>
        <w:top w:val="none" w:sz="0" w:space="0" w:color="auto"/>
        <w:left w:val="none" w:sz="0" w:space="0" w:color="auto"/>
        <w:bottom w:val="none" w:sz="0" w:space="0" w:color="auto"/>
        <w:right w:val="none" w:sz="0" w:space="0" w:color="auto"/>
      </w:divBdr>
    </w:div>
    <w:div w:id="208345584">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15045099">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30316317">
      <w:bodyDiv w:val="1"/>
      <w:marLeft w:val="0"/>
      <w:marRight w:val="0"/>
      <w:marTop w:val="0"/>
      <w:marBottom w:val="0"/>
      <w:divBdr>
        <w:top w:val="none" w:sz="0" w:space="0" w:color="auto"/>
        <w:left w:val="none" w:sz="0" w:space="0" w:color="auto"/>
        <w:bottom w:val="none" w:sz="0" w:space="0" w:color="auto"/>
        <w:right w:val="none" w:sz="0" w:space="0" w:color="auto"/>
      </w:divBdr>
    </w:div>
    <w:div w:id="230700515">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126570">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3699868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390227439">
      <w:bodyDiv w:val="1"/>
      <w:marLeft w:val="0"/>
      <w:marRight w:val="0"/>
      <w:marTop w:val="0"/>
      <w:marBottom w:val="0"/>
      <w:divBdr>
        <w:top w:val="none" w:sz="0" w:space="0" w:color="auto"/>
        <w:left w:val="none" w:sz="0" w:space="0" w:color="auto"/>
        <w:bottom w:val="none" w:sz="0" w:space="0" w:color="auto"/>
        <w:right w:val="none" w:sz="0" w:space="0" w:color="auto"/>
      </w:divBdr>
    </w:div>
    <w:div w:id="397243724">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32896203">
      <w:bodyDiv w:val="1"/>
      <w:marLeft w:val="0"/>
      <w:marRight w:val="0"/>
      <w:marTop w:val="0"/>
      <w:marBottom w:val="0"/>
      <w:divBdr>
        <w:top w:val="none" w:sz="0" w:space="0" w:color="auto"/>
        <w:left w:val="none" w:sz="0" w:space="0" w:color="auto"/>
        <w:bottom w:val="none" w:sz="0" w:space="0" w:color="auto"/>
        <w:right w:val="none" w:sz="0" w:space="0" w:color="auto"/>
      </w:divBdr>
    </w:div>
    <w:div w:id="448856821">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73645794">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86172840">
      <w:bodyDiv w:val="1"/>
      <w:marLeft w:val="0"/>
      <w:marRight w:val="0"/>
      <w:marTop w:val="0"/>
      <w:marBottom w:val="0"/>
      <w:divBdr>
        <w:top w:val="none" w:sz="0" w:space="0" w:color="auto"/>
        <w:left w:val="none" w:sz="0" w:space="0" w:color="auto"/>
        <w:bottom w:val="none" w:sz="0" w:space="0" w:color="auto"/>
        <w:right w:val="none" w:sz="0" w:space="0" w:color="auto"/>
      </w:divBdr>
    </w:div>
    <w:div w:id="486751268">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21432726">
      <w:bodyDiv w:val="1"/>
      <w:marLeft w:val="0"/>
      <w:marRight w:val="0"/>
      <w:marTop w:val="0"/>
      <w:marBottom w:val="0"/>
      <w:divBdr>
        <w:top w:val="none" w:sz="0" w:space="0" w:color="auto"/>
        <w:left w:val="none" w:sz="0" w:space="0" w:color="auto"/>
        <w:bottom w:val="none" w:sz="0" w:space="0" w:color="auto"/>
        <w:right w:val="none" w:sz="0" w:space="0" w:color="auto"/>
      </w:divBdr>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64922867">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15673271">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24567689">
      <w:bodyDiv w:val="1"/>
      <w:marLeft w:val="0"/>
      <w:marRight w:val="0"/>
      <w:marTop w:val="0"/>
      <w:marBottom w:val="0"/>
      <w:divBdr>
        <w:top w:val="none" w:sz="0" w:space="0" w:color="auto"/>
        <w:left w:val="none" w:sz="0" w:space="0" w:color="auto"/>
        <w:bottom w:val="none" w:sz="0" w:space="0" w:color="auto"/>
        <w:right w:val="none" w:sz="0" w:space="0" w:color="auto"/>
      </w:divBdr>
    </w:div>
    <w:div w:id="727612551">
      <w:bodyDiv w:val="1"/>
      <w:marLeft w:val="0"/>
      <w:marRight w:val="0"/>
      <w:marTop w:val="0"/>
      <w:marBottom w:val="0"/>
      <w:divBdr>
        <w:top w:val="none" w:sz="0" w:space="0" w:color="auto"/>
        <w:left w:val="none" w:sz="0" w:space="0" w:color="auto"/>
        <w:bottom w:val="none" w:sz="0" w:space="0" w:color="auto"/>
        <w:right w:val="none" w:sz="0" w:space="0" w:color="auto"/>
      </w:divBdr>
    </w:div>
    <w:div w:id="731463224">
      <w:bodyDiv w:val="1"/>
      <w:marLeft w:val="0"/>
      <w:marRight w:val="0"/>
      <w:marTop w:val="0"/>
      <w:marBottom w:val="0"/>
      <w:divBdr>
        <w:top w:val="none" w:sz="0" w:space="0" w:color="auto"/>
        <w:left w:val="none" w:sz="0" w:space="0" w:color="auto"/>
        <w:bottom w:val="none" w:sz="0" w:space="0" w:color="auto"/>
        <w:right w:val="none" w:sz="0" w:space="0" w:color="auto"/>
      </w:divBdr>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39789780">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2482255">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894239874">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998457801">
      <w:bodyDiv w:val="1"/>
      <w:marLeft w:val="0"/>
      <w:marRight w:val="0"/>
      <w:marTop w:val="0"/>
      <w:marBottom w:val="0"/>
      <w:divBdr>
        <w:top w:val="none" w:sz="0" w:space="0" w:color="auto"/>
        <w:left w:val="none" w:sz="0" w:space="0" w:color="auto"/>
        <w:bottom w:val="none" w:sz="0" w:space="0" w:color="auto"/>
        <w:right w:val="none" w:sz="0" w:space="0" w:color="auto"/>
      </w:divBdr>
    </w:div>
    <w:div w:id="1000621794">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14963724">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42482242">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094285157">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0783550">
      <w:bodyDiv w:val="1"/>
      <w:marLeft w:val="0"/>
      <w:marRight w:val="0"/>
      <w:marTop w:val="0"/>
      <w:marBottom w:val="0"/>
      <w:divBdr>
        <w:top w:val="none" w:sz="0" w:space="0" w:color="auto"/>
        <w:left w:val="none" w:sz="0" w:space="0" w:color="auto"/>
        <w:bottom w:val="none" w:sz="0" w:space="0" w:color="auto"/>
        <w:right w:val="none" w:sz="0" w:space="0" w:color="auto"/>
      </w:divBdr>
    </w:div>
    <w:div w:id="1133131059">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46701678">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72836687">
      <w:bodyDiv w:val="1"/>
      <w:marLeft w:val="0"/>
      <w:marRight w:val="0"/>
      <w:marTop w:val="0"/>
      <w:marBottom w:val="0"/>
      <w:divBdr>
        <w:top w:val="none" w:sz="0" w:space="0" w:color="auto"/>
        <w:left w:val="none" w:sz="0" w:space="0" w:color="auto"/>
        <w:bottom w:val="none" w:sz="0" w:space="0" w:color="auto"/>
        <w:right w:val="none" w:sz="0" w:space="0" w:color="auto"/>
      </w:divBdr>
      <w:divsChild>
        <w:div w:id="258947975">
          <w:marLeft w:val="0"/>
          <w:marRight w:val="0"/>
          <w:marTop w:val="0"/>
          <w:marBottom w:val="0"/>
          <w:divBdr>
            <w:top w:val="none" w:sz="0" w:space="0" w:color="auto"/>
            <w:left w:val="none" w:sz="0" w:space="0" w:color="auto"/>
            <w:bottom w:val="none" w:sz="0" w:space="0" w:color="auto"/>
            <w:right w:val="none" w:sz="0" w:space="0" w:color="auto"/>
          </w:divBdr>
        </w:div>
      </w:divsChild>
    </w:div>
    <w:div w:id="1173452205">
      <w:bodyDiv w:val="1"/>
      <w:marLeft w:val="0"/>
      <w:marRight w:val="0"/>
      <w:marTop w:val="0"/>
      <w:marBottom w:val="0"/>
      <w:divBdr>
        <w:top w:val="none" w:sz="0" w:space="0" w:color="auto"/>
        <w:left w:val="none" w:sz="0" w:space="0" w:color="auto"/>
        <w:bottom w:val="none" w:sz="0" w:space="0" w:color="auto"/>
        <w:right w:val="none" w:sz="0" w:space="0" w:color="auto"/>
      </w:divBdr>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293214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84851812">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298221535">
      <w:bodyDiv w:val="1"/>
      <w:marLeft w:val="0"/>
      <w:marRight w:val="0"/>
      <w:marTop w:val="0"/>
      <w:marBottom w:val="0"/>
      <w:divBdr>
        <w:top w:val="none" w:sz="0" w:space="0" w:color="auto"/>
        <w:left w:val="none" w:sz="0" w:space="0" w:color="auto"/>
        <w:bottom w:val="none" w:sz="0" w:space="0" w:color="auto"/>
        <w:right w:val="none" w:sz="0" w:space="0" w:color="auto"/>
      </w:divBdr>
    </w:div>
    <w:div w:id="1316573284">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45862540">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397241131">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68888133">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499808463">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51064921">
      <w:bodyDiv w:val="1"/>
      <w:marLeft w:val="0"/>
      <w:marRight w:val="0"/>
      <w:marTop w:val="0"/>
      <w:marBottom w:val="0"/>
      <w:divBdr>
        <w:top w:val="none" w:sz="0" w:space="0" w:color="auto"/>
        <w:left w:val="none" w:sz="0" w:space="0" w:color="auto"/>
        <w:bottom w:val="none" w:sz="0" w:space="0" w:color="auto"/>
        <w:right w:val="none" w:sz="0" w:space="0" w:color="auto"/>
      </w:divBdr>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83027382">
      <w:bodyDiv w:val="1"/>
      <w:marLeft w:val="0"/>
      <w:marRight w:val="0"/>
      <w:marTop w:val="0"/>
      <w:marBottom w:val="0"/>
      <w:divBdr>
        <w:top w:val="none" w:sz="0" w:space="0" w:color="auto"/>
        <w:left w:val="none" w:sz="0" w:space="0" w:color="auto"/>
        <w:bottom w:val="none" w:sz="0" w:space="0" w:color="auto"/>
        <w:right w:val="none" w:sz="0" w:space="0" w:color="auto"/>
      </w:divBdr>
    </w:div>
    <w:div w:id="1586063936">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5826058">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20800539">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34554741">
      <w:bodyDiv w:val="1"/>
      <w:marLeft w:val="0"/>
      <w:marRight w:val="0"/>
      <w:marTop w:val="0"/>
      <w:marBottom w:val="0"/>
      <w:divBdr>
        <w:top w:val="none" w:sz="0" w:space="0" w:color="auto"/>
        <w:left w:val="none" w:sz="0" w:space="0" w:color="auto"/>
        <w:bottom w:val="none" w:sz="0" w:space="0" w:color="auto"/>
        <w:right w:val="none" w:sz="0" w:space="0" w:color="auto"/>
      </w:divBdr>
    </w:div>
    <w:div w:id="1648242103">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035632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2912561">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32865241">
      <w:bodyDiv w:val="1"/>
      <w:marLeft w:val="0"/>
      <w:marRight w:val="0"/>
      <w:marTop w:val="0"/>
      <w:marBottom w:val="0"/>
      <w:divBdr>
        <w:top w:val="none" w:sz="0" w:space="0" w:color="auto"/>
        <w:left w:val="none" w:sz="0" w:space="0" w:color="auto"/>
        <w:bottom w:val="none" w:sz="0" w:space="0" w:color="auto"/>
        <w:right w:val="none" w:sz="0" w:space="0" w:color="auto"/>
      </w:divBdr>
    </w:div>
    <w:div w:id="1841315691">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878394527">
      <w:bodyDiv w:val="1"/>
      <w:marLeft w:val="0"/>
      <w:marRight w:val="0"/>
      <w:marTop w:val="0"/>
      <w:marBottom w:val="0"/>
      <w:divBdr>
        <w:top w:val="none" w:sz="0" w:space="0" w:color="auto"/>
        <w:left w:val="none" w:sz="0" w:space="0" w:color="auto"/>
        <w:bottom w:val="none" w:sz="0" w:space="0" w:color="auto"/>
        <w:right w:val="none" w:sz="0" w:space="0" w:color="auto"/>
      </w:divBdr>
    </w:div>
    <w:div w:id="1892304445">
      <w:bodyDiv w:val="1"/>
      <w:marLeft w:val="0"/>
      <w:marRight w:val="0"/>
      <w:marTop w:val="0"/>
      <w:marBottom w:val="0"/>
      <w:divBdr>
        <w:top w:val="none" w:sz="0" w:space="0" w:color="auto"/>
        <w:left w:val="none" w:sz="0" w:space="0" w:color="auto"/>
        <w:bottom w:val="none" w:sz="0" w:space="0" w:color="auto"/>
        <w:right w:val="none" w:sz="0" w:space="0" w:color="auto"/>
      </w:divBdr>
    </w:div>
    <w:div w:id="1892305068">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56596131">
      <w:bodyDiv w:val="1"/>
      <w:marLeft w:val="0"/>
      <w:marRight w:val="0"/>
      <w:marTop w:val="0"/>
      <w:marBottom w:val="0"/>
      <w:divBdr>
        <w:top w:val="none" w:sz="0" w:space="0" w:color="auto"/>
        <w:left w:val="none" w:sz="0" w:space="0" w:color="auto"/>
        <w:bottom w:val="none" w:sz="0" w:space="0" w:color="auto"/>
        <w:right w:val="none" w:sz="0" w:space="0" w:color="auto"/>
      </w:divBdr>
    </w:div>
    <w:div w:id="1972444215">
      <w:bodyDiv w:val="1"/>
      <w:marLeft w:val="0"/>
      <w:marRight w:val="0"/>
      <w:marTop w:val="0"/>
      <w:marBottom w:val="0"/>
      <w:divBdr>
        <w:top w:val="none" w:sz="0" w:space="0" w:color="auto"/>
        <w:left w:val="none" w:sz="0" w:space="0" w:color="auto"/>
        <w:bottom w:val="none" w:sz="0" w:space="0" w:color="auto"/>
        <w:right w:val="none" w:sz="0" w:space="0" w:color="auto"/>
      </w:divBdr>
    </w:div>
    <w:div w:id="1987775347">
      <w:bodyDiv w:val="1"/>
      <w:marLeft w:val="0"/>
      <w:marRight w:val="0"/>
      <w:marTop w:val="0"/>
      <w:marBottom w:val="0"/>
      <w:divBdr>
        <w:top w:val="none" w:sz="0" w:space="0" w:color="auto"/>
        <w:left w:val="none" w:sz="0" w:space="0" w:color="auto"/>
        <w:bottom w:val="none" w:sz="0" w:space="0" w:color="auto"/>
        <w:right w:val="none" w:sz="0" w:space="0" w:color="auto"/>
      </w:divBdr>
    </w:div>
    <w:div w:id="1990356344">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157567">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15064574">
      <w:bodyDiv w:val="1"/>
      <w:marLeft w:val="0"/>
      <w:marRight w:val="0"/>
      <w:marTop w:val="0"/>
      <w:marBottom w:val="0"/>
      <w:divBdr>
        <w:top w:val="none" w:sz="0" w:space="0" w:color="auto"/>
        <w:left w:val="none" w:sz="0" w:space="0" w:color="auto"/>
        <w:bottom w:val="none" w:sz="0" w:space="0" w:color="auto"/>
        <w:right w:val="none" w:sz="0" w:space="0" w:color="auto"/>
      </w:divBdr>
    </w:div>
    <w:div w:id="2022513427">
      <w:bodyDiv w:val="1"/>
      <w:marLeft w:val="0"/>
      <w:marRight w:val="0"/>
      <w:marTop w:val="0"/>
      <w:marBottom w:val="0"/>
      <w:divBdr>
        <w:top w:val="none" w:sz="0" w:space="0" w:color="auto"/>
        <w:left w:val="none" w:sz="0" w:space="0" w:color="auto"/>
        <w:bottom w:val="none" w:sz="0" w:space="0" w:color="auto"/>
        <w:right w:val="none" w:sz="0" w:space="0" w:color="auto"/>
      </w:divBdr>
    </w:div>
    <w:div w:id="2028748199">
      <w:bodyDiv w:val="1"/>
      <w:marLeft w:val="0"/>
      <w:marRight w:val="0"/>
      <w:marTop w:val="0"/>
      <w:marBottom w:val="0"/>
      <w:divBdr>
        <w:top w:val="none" w:sz="0" w:space="0" w:color="auto"/>
        <w:left w:val="none" w:sz="0" w:space="0" w:color="auto"/>
        <w:bottom w:val="none" w:sz="0" w:space="0" w:color="auto"/>
        <w:right w:val="none" w:sz="0" w:space="0" w:color="auto"/>
      </w:divBdr>
    </w:div>
    <w:div w:id="2040429924">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78429174">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04297571">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our-imp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outu.be/JCeG_6OmOuE?si=WgwOnXcFATJoiKG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acificwomen.org/about-us/our-bo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acificwomen.org/latest-updates/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p5gbcZHlKdg?si=7LXyyJI6AQalYxB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2.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3.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9242</Words>
  <Characters>52680</Characters>
  <Application>Microsoft Office Word</Application>
  <DocSecurity>0</DocSecurity>
  <Lines>439</Lines>
  <Paragraphs>123</Paragraphs>
  <ScaleCrop>false</ScaleCrop>
  <Company/>
  <LinksUpToDate>false</LinksUpToDate>
  <CharactersWithSpaces>61799</CharactersWithSpaces>
  <SharedDoc>false</SharedDoc>
  <HLinks>
    <vt:vector size="132" baseType="variant">
      <vt:variant>
        <vt:i4>6488139</vt:i4>
      </vt:variant>
      <vt:variant>
        <vt:i4>114</vt:i4>
      </vt:variant>
      <vt:variant>
        <vt:i4>0</vt:i4>
      </vt:variant>
      <vt:variant>
        <vt:i4>5</vt:i4>
      </vt:variant>
      <vt:variant>
        <vt:lpwstr>mailto:info@pwles.org</vt:lpwstr>
      </vt:variant>
      <vt:variant>
        <vt:lpwstr/>
      </vt:variant>
      <vt:variant>
        <vt:i4>4653123</vt:i4>
      </vt:variant>
      <vt:variant>
        <vt:i4>111</vt:i4>
      </vt:variant>
      <vt:variant>
        <vt:i4>0</vt:i4>
      </vt:variant>
      <vt:variant>
        <vt:i4>5</vt:i4>
      </vt:variant>
      <vt:variant>
        <vt:lpwstr>https://youtu.be/p5gbcZHlKdg?si=7LXyyJI6AQalYxBT</vt:lpwstr>
      </vt:variant>
      <vt:variant>
        <vt:lpwstr/>
      </vt:variant>
      <vt:variant>
        <vt:i4>7012352</vt:i4>
      </vt:variant>
      <vt:variant>
        <vt:i4>108</vt:i4>
      </vt:variant>
      <vt:variant>
        <vt:i4>0</vt:i4>
      </vt:variant>
      <vt:variant>
        <vt:i4>5</vt:i4>
      </vt:variant>
      <vt:variant>
        <vt:lpwstr>https://youtu.be/JCeG_6OmOuE?si=WgwOnXcFATJoiKG7</vt:lpwstr>
      </vt:variant>
      <vt:variant>
        <vt:lpwstr/>
      </vt:variant>
      <vt:variant>
        <vt:i4>6815794</vt:i4>
      </vt:variant>
      <vt:variant>
        <vt:i4>105</vt:i4>
      </vt:variant>
      <vt:variant>
        <vt:i4>0</vt:i4>
      </vt:variant>
      <vt:variant>
        <vt:i4>5</vt:i4>
      </vt:variant>
      <vt:variant>
        <vt:lpwstr>https://pacificwomen.org/resources/</vt:lpwstr>
      </vt:variant>
      <vt:variant>
        <vt:lpwstr/>
      </vt:variant>
      <vt:variant>
        <vt:i4>6094927</vt:i4>
      </vt:variant>
      <vt:variant>
        <vt:i4>102</vt:i4>
      </vt:variant>
      <vt:variant>
        <vt:i4>0</vt:i4>
      </vt:variant>
      <vt:variant>
        <vt:i4>5</vt:i4>
      </vt:variant>
      <vt:variant>
        <vt:lpwstr>https://pacificwomen.org/latest-updates/stories/</vt:lpwstr>
      </vt:variant>
      <vt:variant>
        <vt:lpwstr/>
      </vt:variant>
      <vt:variant>
        <vt:i4>4456463</vt:i4>
      </vt:variant>
      <vt:variant>
        <vt:i4>99</vt:i4>
      </vt:variant>
      <vt:variant>
        <vt:i4>0</vt:i4>
      </vt:variant>
      <vt:variant>
        <vt:i4>5</vt:i4>
      </vt:variant>
      <vt:variant>
        <vt:lpwstr>https://pacificwomen.org/our-impact/</vt:lpwstr>
      </vt:variant>
      <vt:variant>
        <vt:lpwstr/>
      </vt:variant>
      <vt:variant>
        <vt:i4>4587548</vt:i4>
      </vt:variant>
      <vt:variant>
        <vt:i4>96</vt:i4>
      </vt:variant>
      <vt:variant>
        <vt:i4>0</vt:i4>
      </vt:variant>
      <vt:variant>
        <vt:i4>5</vt:i4>
      </vt:variant>
      <vt:variant>
        <vt:lpwstr>https://pacificwomen.org/about-us/our-board/</vt:lpwstr>
      </vt:variant>
      <vt:variant>
        <vt:lpwstr/>
      </vt:variant>
      <vt:variant>
        <vt:i4>4456525</vt:i4>
      </vt:variant>
      <vt:variant>
        <vt:i4>87</vt:i4>
      </vt:variant>
      <vt:variant>
        <vt:i4>0</vt:i4>
      </vt:variant>
      <vt:variant>
        <vt:i4>5</vt:i4>
      </vt:variant>
      <vt:variant>
        <vt:lpwstr>http://www.pacificwomen.org/</vt:lpwstr>
      </vt:variant>
      <vt:variant>
        <vt:lpwstr/>
      </vt:variant>
      <vt:variant>
        <vt:i4>1966138</vt:i4>
      </vt:variant>
      <vt:variant>
        <vt:i4>80</vt:i4>
      </vt:variant>
      <vt:variant>
        <vt:i4>0</vt:i4>
      </vt:variant>
      <vt:variant>
        <vt:i4>5</vt:i4>
      </vt:variant>
      <vt:variant>
        <vt:lpwstr/>
      </vt:variant>
      <vt:variant>
        <vt:lpwstr>_Toc208777794</vt:lpwstr>
      </vt:variant>
      <vt:variant>
        <vt:i4>1966138</vt:i4>
      </vt:variant>
      <vt:variant>
        <vt:i4>74</vt:i4>
      </vt:variant>
      <vt:variant>
        <vt:i4>0</vt:i4>
      </vt:variant>
      <vt:variant>
        <vt:i4>5</vt:i4>
      </vt:variant>
      <vt:variant>
        <vt:lpwstr/>
      </vt:variant>
      <vt:variant>
        <vt:lpwstr>_Toc208777793</vt:lpwstr>
      </vt:variant>
      <vt:variant>
        <vt:i4>1966138</vt:i4>
      </vt:variant>
      <vt:variant>
        <vt:i4>68</vt:i4>
      </vt:variant>
      <vt:variant>
        <vt:i4>0</vt:i4>
      </vt:variant>
      <vt:variant>
        <vt:i4>5</vt:i4>
      </vt:variant>
      <vt:variant>
        <vt:lpwstr/>
      </vt:variant>
      <vt:variant>
        <vt:lpwstr>_Toc208777792</vt:lpwstr>
      </vt:variant>
      <vt:variant>
        <vt:i4>1966138</vt:i4>
      </vt:variant>
      <vt:variant>
        <vt:i4>62</vt:i4>
      </vt:variant>
      <vt:variant>
        <vt:i4>0</vt:i4>
      </vt:variant>
      <vt:variant>
        <vt:i4>5</vt:i4>
      </vt:variant>
      <vt:variant>
        <vt:lpwstr/>
      </vt:variant>
      <vt:variant>
        <vt:lpwstr>_Toc208777791</vt:lpwstr>
      </vt:variant>
      <vt:variant>
        <vt:i4>1966138</vt:i4>
      </vt:variant>
      <vt:variant>
        <vt:i4>56</vt:i4>
      </vt:variant>
      <vt:variant>
        <vt:i4>0</vt:i4>
      </vt:variant>
      <vt:variant>
        <vt:i4>5</vt:i4>
      </vt:variant>
      <vt:variant>
        <vt:lpwstr/>
      </vt:variant>
      <vt:variant>
        <vt:lpwstr>_Toc208777790</vt:lpwstr>
      </vt:variant>
      <vt:variant>
        <vt:i4>2031674</vt:i4>
      </vt:variant>
      <vt:variant>
        <vt:i4>50</vt:i4>
      </vt:variant>
      <vt:variant>
        <vt:i4>0</vt:i4>
      </vt:variant>
      <vt:variant>
        <vt:i4>5</vt:i4>
      </vt:variant>
      <vt:variant>
        <vt:lpwstr/>
      </vt:variant>
      <vt:variant>
        <vt:lpwstr>_Toc208777789</vt:lpwstr>
      </vt:variant>
      <vt:variant>
        <vt:i4>2031674</vt:i4>
      </vt:variant>
      <vt:variant>
        <vt:i4>44</vt:i4>
      </vt:variant>
      <vt:variant>
        <vt:i4>0</vt:i4>
      </vt:variant>
      <vt:variant>
        <vt:i4>5</vt:i4>
      </vt:variant>
      <vt:variant>
        <vt:lpwstr/>
      </vt:variant>
      <vt:variant>
        <vt:lpwstr>_Toc208777788</vt:lpwstr>
      </vt:variant>
      <vt:variant>
        <vt:i4>2031674</vt:i4>
      </vt:variant>
      <vt:variant>
        <vt:i4>38</vt:i4>
      </vt:variant>
      <vt:variant>
        <vt:i4>0</vt:i4>
      </vt:variant>
      <vt:variant>
        <vt:i4>5</vt:i4>
      </vt:variant>
      <vt:variant>
        <vt:lpwstr/>
      </vt:variant>
      <vt:variant>
        <vt:lpwstr>_Toc208777787</vt:lpwstr>
      </vt:variant>
      <vt:variant>
        <vt:i4>2031674</vt:i4>
      </vt:variant>
      <vt:variant>
        <vt:i4>32</vt:i4>
      </vt:variant>
      <vt:variant>
        <vt:i4>0</vt:i4>
      </vt:variant>
      <vt:variant>
        <vt:i4>5</vt:i4>
      </vt:variant>
      <vt:variant>
        <vt:lpwstr/>
      </vt:variant>
      <vt:variant>
        <vt:lpwstr>_Toc208777786</vt:lpwstr>
      </vt:variant>
      <vt:variant>
        <vt:i4>2031674</vt:i4>
      </vt:variant>
      <vt:variant>
        <vt:i4>26</vt:i4>
      </vt:variant>
      <vt:variant>
        <vt:i4>0</vt:i4>
      </vt:variant>
      <vt:variant>
        <vt:i4>5</vt:i4>
      </vt:variant>
      <vt:variant>
        <vt:lpwstr/>
      </vt:variant>
      <vt:variant>
        <vt:lpwstr>_Toc208777785</vt:lpwstr>
      </vt:variant>
      <vt:variant>
        <vt:i4>2031674</vt:i4>
      </vt:variant>
      <vt:variant>
        <vt:i4>20</vt:i4>
      </vt:variant>
      <vt:variant>
        <vt:i4>0</vt:i4>
      </vt:variant>
      <vt:variant>
        <vt:i4>5</vt:i4>
      </vt:variant>
      <vt:variant>
        <vt:lpwstr/>
      </vt:variant>
      <vt:variant>
        <vt:lpwstr>_Toc208777784</vt:lpwstr>
      </vt:variant>
      <vt:variant>
        <vt:i4>2031674</vt:i4>
      </vt:variant>
      <vt:variant>
        <vt:i4>14</vt:i4>
      </vt:variant>
      <vt:variant>
        <vt:i4>0</vt:i4>
      </vt:variant>
      <vt:variant>
        <vt:i4>5</vt:i4>
      </vt:variant>
      <vt:variant>
        <vt:lpwstr/>
      </vt:variant>
      <vt:variant>
        <vt:lpwstr>_Toc208777783</vt:lpwstr>
      </vt:variant>
      <vt:variant>
        <vt:i4>2031674</vt:i4>
      </vt:variant>
      <vt:variant>
        <vt:i4>8</vt:i4>
      </vt:variant>
      <vt:variant>
        <vt:i4>0</vt:i4>
      </vt:variant>
      <vt:variant>
        <vt:i4>5</vt:i4>
      </vt:variant>
      <vt:variant>
        <vt:lpwstr/>
      </vt:variant>
      <vt:variant>
        <vt:lpwstr>_Toc208777782</vt:lpwstr>
      </vt:variant>
      <vt:variant>
        <vt:i4>2031674</vt:i4>
      </vt:variant>
      <vt:variant>
        <vt:i4>2</vt:i4>
      </vt:variant>
      <vt:variant>
        <vt:i4>0</vt:i4>
      </vt:variant>
      <vt:variant>
        <vt:i4>5</vt:i4>
      </vt:variant>
      <vt:variant>
        <vt:lpwstr/>
      </vt:variant>
      <vt:variant>
        <vt:lpwstr>_Toc208777781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dcterms:created xsi:type="dcterms:W3CDTF">2025-09-15T23:45:00Z</dcterms:created>
  <dcterms:modified xsi:type="dcterms:W3CDTF">2025-09-15T23:45:00Z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