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DEFC" w14:textId="076508A7" w:rsidR="00CC0D37" w:rsidRPr="00F56579" w:rsidRDefault="00CC0D37" w:rsidP="006978D8">
      <w:pPr>
        <w:jc w:val="left"/>
      </w:pPr>
      <w:bookmarkStart w:id="0" w:name="_Hlk131676186"/>
      <w:bookmarkEnd w:id="0"/>
      <w:r w:rsidRPr="00F56579">
        <w:rPr>
          <w:noProof/>
        </w:rPr>
        <w:drawing>
          <wp:inline distT="0" distB="0" distL="0" distR="0" wp14:anchorId="4A099747" wp14:editId="6E00FB23">
            <wp:extent cx="6120130" cy="2767965"/>
            <wp:effectExtent l="0" t="0" r="0" b="0"/>
            <wp:docPr id="1" name="Picture 1" descr="Pacific Women L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cific Women Lead Logo"/>
                    <pic:cNvPicPr/>
                  </pic:nvPicPr>
                  <pic:blipFill>
                    <a:blip r:embed="rId11">
                      <a:extLst>
                        <a:ext uri="{28A0092B-C50C-407E-A947-70E740481C1C}">
                          <a14:useLocalDpi xmlns:a14="http://schemas.microsoft.com/office/drawing/2010/main" val="0"/>
                        </a:ext>
                      </a:extLst>
                    </a:blip>
                    <a:stretch>
                      <a:fillRect/>
                    </a:stretch>
                  </pic:blipFill>
                  <pic:spPr>
                    <a:xfrm>
                      <a:off x="0" y="0"/>
                      <a:ext cx="6120130" cy="2767965"/>
                    </a:xfrm>
                    <a:prstGeom prst="rect">
                      <a:avLst/>
                    </a:prstGeom>
                  </pic:spPr>
                </pic:pic>
              </a:graphicData>
            </a:graphic>
          </wp:inline>
        </w:drawing>
      </w:r>
    </w:p>
    <w:p w14:paraId="0F188546" w14:textId="681C78AF" w:rsidR="00423C57" w:rsidRPr="00F56579" w:rsidRDefault="00551CE3" w:rsidP="006978D8">
      <w:pPr>
        <w:pStyle w:val="Title"/>
        <w:spacing w:line="276" w:lineRule="auto"/>
        <w:rPr>
          <w:rFonts w:cstheme="majorHAnsi"/>
          <w:szCs w:val="56"/>
        </w:rPr>
      </w:pPr>
      <w:r>
        <w:rPr>
          <w:rFonts w:cstheme="majorHAnsi"/>
          <w:szCs w:val="56"/>
        </w:rPr>
        <w:t>Solomon Islands</w:t>
      </w:r>
      <w:r w:rsidR="000631C2" w:rsidRPr="00F56579">
        <w:rPr>
          <w:rFonts w:cstheme="majorHAnsi"/>
          <w:szCs w:val="56"/>
        </w:rPr>
        <w:t xml:space="preserve"> </w:t>
      </w:r>
      <w:r w:rsidR="00B53242" w:rsidRPr="00F56579">
        <w:rPr>
          <w:rFonts w:cstheme="majorHAnsi"/>
          <w:szCs w:val="56"/>
        </w:rPr>
        <w:t xml:space="preserve">Country </w:t>
      </w:r>
      <w:r w:rsidR="0018387A" w:rsidRPr="00F56579">
        <w:rPr>
          <w:rFonts w:cstheme="majorHAnsi"/>
          <w:szCs w:val="56"/>
        </w:rPr>
        <w:t>Brief</w:t>
      </w:r>
    </w:p>
    <w:p w14:paraId="045F1C09" w14:textId="4CEC54FB" w:rsidR="005D435B" w:rsidRPr="00F56579" w:rsidRDefault="001F0116" w:rsidP="006978D8">
      <w:pPr>
        <w:pStyle w:val="Subtitle"/>
        <w:spacing w:line="276" w:lineRule="auto"/>
        <w:rPr>
          <w:rFonts w:cstheme="majorHAnsi"/>
          <w:sz w:val="56"/>
          <w:szCs w:val="56"/>
        </w:rPr>
      </w:pPr>
      <w:r>
        <w:rPr>
          <w:rFonts w:cstheme="majorHAnsi"/>
          <w:sz w:val="56"/>
          <w:szCs w:val="56"/>
        </w:rPr>
        <w:t>August</w:t>
      </w:r>
      <w:r w:rsidRPr="00F56579">
        <w:rPr>
          <w:rFonts w:cstheme="majorHAnsi"/>
          <w:sz w:val="56"/>
          <w:szCs w:val="56"/>
        </w:rPr>
        <w:t xml:space="preserve"> </w:t>
      </w:r>
      <w:r w:rsidR="006F55D4" w:rsidRPr="00F56579">
        <w:rPr>
          <w:rFonts w:cstheme="majorHAnsi"/>
          <w:sz w:val="56"/>
          <w:szCs w:val="56"/>
        </w:rPr>
        <w:t>202</w:t>
      </w:r>
      <w:r w:rsidR="00775AC0" w:rsidRPr="00F56579">
        <w:rPr>
          <w:rFonts w:cstheme="majorHAnsi"/>
          <w:sz w:val="56"/>
          <w:szCs w:val="56"/>
        </w:rPr>
        <w:t>5</w:t>
      </w:r>
    </w:p>
    <w:p w14:paraId="03CCE1EB" w14:textId="77777777" w:rsidR="00436FD7" w:rsidRPr="00F56579" w:rsidRDefault="00436FD7" w:rsidP="006978D8">
      <w:pPr>
        <w:spacing w:line="276" w:lineRule="auto"/>
        <w:jc w:val="left"/>
        <w:rPr>
          <w:rFonts w:asciiTheme="majorHAnsi" w:hAnsiTheme="majorHAnsi" w:cstheme="majorHAnsi"/>
          <w:sz w:val="20"/>
          <w:szCs w:val="20"/>
        </w:rPr>
      </w:pPr>
    </w:p>
    <w:p w14:paraId="16840F9F" w14:textId="77777777" w:rsidR="00436FD7" w:rsidRPr="00F56579" w:rsidRDefault="00436FD7" w:rsidP="006978D8">
      <w:pPr>
        <w:spacing w:line="276" w:lineRule="auto"/>
        <w:jc w:val="left"/>
        <w:rPr>
          <w:rFonts w:asciiTheme="majorHAnsi" w:hAnsiTheme="majorHAnsi" w:cstheme="majorHAnsi"/>
          <w:sz w:val="20"/>
          <w:szCs w:val="20"/>
        </w:rPr>
      </w:pPr>
    </w:p>
    <w:p w14:paraId="62DB4D54" w14:textId="77777777" w:rsidR="00B53242" w:rsidRPr="00F56579" w:rsidRDefault="00B53242" w:rsidP="006978D8">
      <w:pPr>
        <w:spacing w:line="276" w:lineRule="auto"/>
        <w:jc w:val="left"/>
        <w:rPr>
          <w:rFonts w:asciiTheme="majorHAnsi" w:hAnsiTheme="majorHAnsi" w:cstheme="majorHAnsi"/>
          <w:sz w:val="20"/>
          <w:szCs w:val="20"/>
        </w:rPr>
        <w:sectPr w:rsidR="00B53242" w:rsidRPr="00F56579" w:rsidSect="00332E8F">
          <w:headerReference w:type="even" r:id="rId12"/>
          <w:footerReference w:type="even" r:id="rId13"/>
          <w:footerReference w:type="default" r:id="rId14"/>
          <w:headerReference w:type="first" r:id="rId15"/>
          <w:pgSz w:w="11906" w:h="16840"/>
          <w:pgMar w:top="720" w:right="1152" w:bottom="720" w:left="1152" w:header="562" w:footer="562" w:gutter="0"/>
          <w:cols w:space="708"/>
          <w:docGrid w:linePitch="360"/>
        </w:sectPr>
      </w:pPr>
    </w:p>
    <w:p w14:paraId="010FB734" w14:textId="77777777" w:rsidR="00436FD7" w:rsidRPr="00F56579" w:rsidRDefault="00436FD7" w:rsidP="006978D8">
      <w:pPr>
        <w:spacing w:line="276" w:lineRule="auto"/>
        <w:jc w:val="left"/>
        <w:rPr>
          <w:rFonts w:asciiTheme="majorHAnsi" w:hAnsiTheme="majorHAnsi" w:cstheme="majorHAnsi"/>
          <w:sz w:val="20"/>
          <w:szCs w:val="20"/>
        </w:rPr>
      </w:pPr>
    </w:p>
    <w:sdt>
      <w:sdtPr>
        <w:rPr>
          <w:rFonts w:asciiTheme="minorHAnsi" w:eastAsiaTheme="minorEastAsia" w:hAnsiTheme="minorHAnsi" w:cstheme="minorBidi"/>
          <w:color w:val="auto"/>
          <w:sz w:val="20"/>
          <w:szCs w:val="20"/>
        </w:rPr>
        <w:id w:val="-1435432252"/>
        <w:docPartObj>
          <w:docPartGallery w:val="Table of Contents"/>
          <w:docPartUnique/>
        </w:docPartObj>
      </w:sdtPr>
      <w:sdtEndPr>
        <w:rPr>
          <w:rFonts w:cstheme="majorBidi"/>
          <w:b/>
          <w:bCs/>
        </w:rPr>
      </w:sdtEndPr>
      <w:sdtContent>
        <w:p w14:paraId="40E3DBB2" w14:textId="7898E06C" w:rsidR="00436FD7" w:rsidRPr="00F56579" w:rsidRDefault="00436FD7" w:rsidP="006978D8">
          <w:pPr>
            <w:pStyle w:val="TOCHeading"/>
            <w:jc w:val="left"/>
            <w:rPr>
              <w:sz w:val="20"/>
              <w:szCs w:val="20"/>
            </w:rPr>
          </w:pPr>
          <w:r w:rsidRPr="00F56579">
            <w:t>Contents</w:t>
          </w:r>
          <w:r w:rsidR="00FF04A0" w:rsidRPr="00F56579">
            <w:rPr>
              <w:sz w:val="20"/>
              <w:szCs w:val="20"/>
            </w:rPr>
            <w:tab/>
          </w:r>
        </w:p>
        <w:p w14:paraId="34E238AA" w14:textId="095C0DFE" w:rsidR="00B97657" w:rsidRDefault="6643C3DA" w:rsidP="006978D8">
          <w:pPr>
            <w:pStyle w:val="TOC1"/>
            <w:rPr>
              <w:rFonts w:asciiTheme="minorHAnsi" w:eastAsiaTheme="minorEastAsia" w:hAnsiTheme="minorHAnsi"/>
              <w:b w:val="0"/>
              <w:color w:val="auto"/>
              <w:kern w:val="2"/>
              <w:sz w:val="24"/>
              <w:szCs w:val="24"/>
              <w14:ligatures w14:val="standardContextual"/>
            </w:rPr>
          </w:pPr>
          <w:r w:rsidRPr="6643C3DA">
            <w:rPr>
              <w:rFonts w:asciiTheme="majorHAnsi" w:hAnsiTheme="majorHAnsi" w:cstheme="majorHAnsi"/>
              <w:noProof w:val="0"/>
              <w:szCs w:val="20"/>
            </w:rPr>
            <w:fldChar w:fldCharType="begin"/>
          </w:r>
          <w:r w:rsidR="00436FD7" w:rsidRPr="00F56579">
            <w:rPr>
              <w:rFonts w:asciiTheme="majorHAnsi" w:hAnsiTheme="majorHAnsi" w:cstheme="majorHAnsi"/>
              <w:noProof w:val="0"/>
              <w:szCs w:val="20"/>
            </w:rPr>
            <w:instrText xml:space="preserve"> TOC \o "1-3" \h \z \u </w:instrText>
          </w:r>
          <w:r w:rsidRPr="6643C3DA">
            <w:rPr>
              <w:rFonts w:asciiTheme="majorHAnsi" w:hAnsiTheme="majorHAnsi" w:cstheme="majorHAnsi"/>
              <w:noProof w:val="0"/>
              <w:szCs w:val="20"/>
            </w:rPr>
            <w:fldChar w:fldCharType="separate"/>
          </w:r>
          <w:hyperlink w:anchor="_Toc208711159" w:history="1">
            <w:r w:rsidR="00B97657" w:rsidRPr="005E57AF">
              <w:rPr>
                <w:rStyle w:val="Hyperlink"/>
              </w:rPr>
              <w:t>1</w:t>
            </w:r>
            <w:r w:rsidR="00B97657">
              <w:rPr>
                <w:rFonts w:asciiTheme="minorHAnsi" w:eastAsiaTheme="minorEastAsia" w:hAnsiTheme="minorHAnsi"/>
                <w:b w:val="0"/>
                <w:color w:val="auto"/>
                <w:kern w:val="2"/>
                <w:sz w:val="24"/>
                <w:szCs w:val="24"/>
                <w14:ligatures w14:val="standardContextual"/>
              </w:rPr>
              <w:tab/>
            </w:r>
            <w:r w:rsidR="00B97657" w:rsidRPr="005E57AF">
              <w:rPr>
                <w:rStyle w:val="Hyperlink"/>
              </w:rPr>
              <w:t>About Pacific Women Lead</w:t>
            </w:r>
            <w:r w:rsidR="00B97657">
              <w:rPr>
                <w:webHidden/>
              </w:rPr>
              <w:tab/>
            </w:r>
            <w:r w:rsidR="00B97657">
              <w:rPr>
                <w:webHidden/>
              </w:rPr>
              <w:fldChar w:fldCharType="begin"/>
            </w:r>
            <w:r w:rsidR="00B97657">
              <w:rPr>
                <w:webHidden/>
              </w:rPr>
              <w:instrText xml:space="preserve"> PAGEREF _Toc208711159 \h </w:instrText>
            </w:r>
            <w:r w:rsidR="00B97657">
              <w:rPr>
                <w:webHidden/>
              </w:rPr>
            </w:r>
            <w:r w:rsidR="00B97657">
              <w:rPr>
                <w:webHidden/>
              </w:rPr>
              <w:fldChar w:fldCharType="separate"/>
            </w:r>
            <w:r w:rsidR="00890EE2">
              <w:rPr>
                <w:webHidden/>
              </w:rPr>
              <w:t>1</w:t>
            </w:r>
            <w:r w:rsidR="00B97657">
              <w:rPr>
                <w:webHidden/>
              </w:rPr>
              <w:fldChar w:fldCharType="end"/>
            </w:r>
          </w:hyperlink>
        </w:p>
        <w:p w14:paraId="65A4B064" w14:textId="152972C2" w:rsidR="00B97657" w:rsidRDefault="00B97657" w:rsidP="006978D8">
          <w:pPr>
            <w:pStyle w:val="TOC1"/>
            <w:rPr>
              <w:rFonts w:asciiTheme="minorHAnsi" w:eastAsiaTheme="minorEastAsia" w:hAnsiTheme="minorHAnsi"/>
              <w:b w:val="0"/>
              <w:color w:val="auto"/>
              <w:kern w:val="2"/>
              <w:sz w:val="24"/>
              <w:szCs w:val="24"/>
              <w14:ligatures w14:val="standardContextual"/>
            </w:rPr>
          </w:pPr>
          <w:hyperlink w:anchor="_Toc208711160" w:history="1">
            <w:r w:rsidRPr="005E57AF">
              <w:rPr>
                <w:rStyle w:val="Hyperlink"/>
              </w:rPr>
              <w:t>2</w:t>
            </w:r>
            <w:r>
              <w:rPr>
                <w:rFonts w:asciiTheme="minorHAnsi" w:eastAsiaTheme="minorEastAsia" w:hAnsiTheme="minorHAnsi"/>
                <w:b w:val="0"/>
                <w:color w:val="auto"/>
                <w:kern w:val="2"/>
                <w:sz w:val="24"/>
                <w:szCs w:val="24"/>
                <w14:ligatures w14:val="standardContextual"/>
              </w:rPr>
              <w:tab/>
            </w:r>
            <w:r w:rsidRPr="005E57AF">
              <w:rPr>
                <w:rStyle w:val="Hyperlink"/>
              </w:rPr>
              <w:t>Overview of Pacific Women Lead activities in Solomon Islands</w:t>
            </w:r>
            <w:r>
              <w:rPr>
                <w:webHidden/>
              </w:rPr>
              <w:tab/>
            </w:r>
            <w:r>
              <w:rPr>
                <w:webHidden/>
              </w:rPr>
              <w:fldChar w:fldCharType="begin"/>
            </w:r>
            <w:r>
              <w:rPr>
                <w:webHidden/>
              </w:rPr>
              <w:instrText xml:space="preserve"> PAGEREF _Toc208711160 \h </w:instrText>
            </w:r>
            <w:r>
              <w:rPr>
                <w:webHidden/>
              </w:rPr>
            </w:r>
            <w:r>
              <w:rPr>
                <w:webHidden/>
              </w:rPr>
              <w:fldChar w:fldCharType="separate"/>
            </w:r>
            <w:r w:rsidR="00890EE2">
              <w:rPr>
                <w:webHidden/>
              </w:rPr>
              <w:t>1</w:t>
            </w:r>
            <w:r>
              <w:rPr>
                <w:webHidden/>
              </w:rPr>
              <w:fldChar w:fldCharType="end"/>
            </w:r>
          </w:hyperlink>
        </w:p>
        <w:p w14:paraId="7A0FD5F9" w14:textId="725EA927" w:rsidR="00B97657" w:rsidRDefault="00B97657" w:rsidP="006978D8">
          <w:pPr>
            <w:pStyle w:val="TOC2"/>
            <w:rPr>
              <w:rFonts w:asciiTheme="minorHAnsi" w:eastAsiaTheme="minorEastAsia" w:hAnsiTheme="minorHAnsi"/>
              <w:color w:val="auto"/>
              <w:kern w:val="2"/>
              <w:sz w:val="24"/>
              <w:szCs w:val="24"/>
              <w14:ligatures w14:val="standardContextual"/>
            </w:rPr>
          </w:pPr>
          <w:hyperlink w:anchor="_Toc208711161" w:history="1">
            <w:r w:rsidRPr="005E57AF">
              <w:rPr>
                <w:rStyle w:val="Hyperlink"/>
              </w:rPr>
              <w:t>2.1</w:t>
            </w:r>
            <w:r>
              <w:rPr>
                <w:rFonts w:asciiTheme="minorHAnsi" w:eastAsiaTheme="minorEastAsia" w:hAnsiTheme="minorHAnsi"/>
                <w:color w:val="auto"/>
                <w:kern w:val="2"/>
                <w:sz w:val="24"/>
                <w:szCs w:val="24"/>
                <w14:ligatures w14:val="standardContextual"/>
              </w:rPr>
              <w:tab/>
            </w:r>
            <w:r w:rsidRPr="005E57AF">
              <w:rPr>
                <w:rStyle w:val="Hyperlink"/>
              </w:rPr>
              <w:t>The Pacific Community (SPC)</w:t>
            </w:r>
            <w:r>
              <w:rPr>
                <w:webHidden/>
              </w:rPr>
              <w:tab/>
            </w:r>
            <w:r>
              <w:rPr>
                <w:webHidden/>
              </w:rPr>
              <w:fldChar w:fldCharType="begin"/>
            </w:r>
            <w:r>
              <w:rPr>
                <w:webHidden/>
              </w:rPr>
              <w:instrText xml:space="preserve"> PAGEREF _Toc208711161 \h </w:instrText>
            </w:r>
            <w:r>
              <w:rPr>
                <w:webHidden/>
              </w:rPr>
            </w:r>
            <w:r>
              <w:rPr>
                <w:webHidden/>
              </w:rPr>
              <w:fldChar w:fldCharType="separate"/>
            </w:r>
            <w:r w:rsidR="00890EE2">
              <w:rPr>
                <w:webHidden/>
              </w:rPr>
              <w:t>1</w:t>
            </w:r>
            <w:r>
              <w:rPr>
                <w:webHidden/>
              </w:rPr>
              <w:fldChar w:fldCharType="end"/>
            </w:r>
          </w:hyperlink>
        </w:p>
        <w:p w14:paraId="4C90B601" w14:textId="027A3E81" w:rsidR="00B97657" w:rsidRDefault="00B97657" w:rsidP="006978D8">
          <w:pPr>
            <w:pStyle w:val="TOC2"/>
            <w:rPr>
              <w:rFonts w:asciiTheme="minorHAnsi" w:eastAsiaTheme="minorEastAsia" w:hAnsiTheme="minorHAnsi"/>
              <w:color w:val="auto"/>
              <w:kern w:val="2"/>
              <w:sz w:val="24"/>
              <w:szCs w:val="24"/>
              <w14:ligatures w14:val="standardContextual"/>
            </w:rPr>
          </w:pPr>
          <w:hyperlink w:anchor="_Toc208711162" w:history="1">
            <w:r w:rsidRPr="005E57AF">
              <w:rPr>
                <w:rStyle w:val="Hyperlink"/>
                <w:rFonts w:asciiTheme="majorHAnsi" w:hAnsiTheme="majorHAnsi" w:cstheme="majorHAnsi"/>
              </w:rPr>
              <w:t>2.2</w:t>
            </w:r>
            <w:r>
              <w:rPr>
                <w:rFonts w:asciiTheme="minorHAnsi" w:eastAsiaTheme="minorEastAsia" w:hAnsiTheme="minorHAnsi"/>
                <w:color w:val="auto"/>
                <w:kern w:val="2"/>
                <w:sz w:val="24"/>
                <w:szCs w:val="24"/>
                <w14:ligatures w14:val="standardContextual"/>
              </w:rPr>
              <w:tab/>
            </w:r>
            <w:r w:rsidRPr="005E57AF">
              <w:rPr>
                <w:rStyle w:val="Hyperlink"/>
                <w:rFonts w:asciiTheme="majorHAnsi" w:hAnsiTheme="majorHAnsi" w:cstheme="majorHAnsi"/>
              </w:rPr>
              <w:t>Pacific Women Lead Governance Board</w:t>
            </w:r>
            <w:r>
              <w:rPr>
                <w:webHidden/>
              </w:rPr>
              <w:tab/>
            </w:r>
            <w:r>
              <w:rPr>
                <w:webHidden/>
              </w:rPr>
              <w:fldChar w:fldCharType="begin"/>
            </w:r>
            <w:r>
              <w:rPr>
                <w:webHidden/>
              </w:rPr>
              <w:instrText xml:space="preserve"> PAGEREF _Toc208711162 \h </w:instrText>
            </w:r>
            <w:r>
              <w:rPr>
                <w:webHidden/>
              </w:rPr>
            </w:r>
            <w:r>
              <w:rPr>
                <w:webHidden/>
              </w:rPr>
              <w:fldChar w:fldCharType="separate"/>
            </w:r>
            <w:r w:rsidR="00890EE2">
              <w:rPr>
                <w:webHidden/>
              </w:rPr>
              <w:t>4</w:t>
            </w:r>
            <w:r>
              <w:rPr>
                <w:webHidden/>
              </w:rPr>
              <w:fldChar w:fldCharType="end"/>
            </w:r>
          </w:hyperlink>
        </w:p>
        <w:p w14:paraId="66A32AA3" w14:textId="2BBE84FF" w:rsidR="00B97657" w:rsidRDefault="00B97657" w:rsidP="006978D8">
          <w:pPr>
            <w:pStyle w:val="TOC2"/>
            <w:rPr>
              <w:rFonts w:asciiTheme="minorHAnsi" w:eastAsiaTheme="minorEastAsia" w:hAnsiTheme="minorHAnsi"/>
              <w:color w:val="auto"/>
              <w:kern w:val="2"/>
              <w:sz w:val="24"/>
              <w:szCs w:val="24"/>
              <w14:ligatures w14:val="standardContextual"/>
            </w:rPr>
          </w:pPr>
          <w:hyperlink w:anchor="_Toc208711163" w:history="1">
            <w:r w:rsidRPr="005E57AF">
              <w:rPr>
                <w:rStyle w:val="Hyperlink"/>
                <w:rFonts w:asciiTheme="majorHAnsi" w:hAnsiTheme="majorHAnsi" w:cstheme="majorHAnsi"/>
              </w:rPr>
              <w:t>2.3</w:t>
            </w:r>
            <w:r>
              <w:rPr>
                <w:rFonts w:asciiTheme="minorHAnsi" w:eastAsiaTheme="minorEastAsia" w:hAnsiTheme="minorHAnsi"/>
                <w:color w:val="auto"/>
                <w:kern w:val="2"/>
                <w:sz w:val="24"/>
                <w:szCs w:val="24"/>
                <w14:ligatures w14:val="standardContextual"/>
              </w:rPr>
              <w:tab/>
            </w:r>
            <w:r w:rsidRPr="005E57AF">
              <w:rPr>
                <w:rStyle w:val="Hyperlink"/>
                <w:rFonts w:asciiTheme="majorHAnsi" w:hAnsiTheme="majorHAnsi" w:cstheme="majorHAnsi"/>
              </w:rPr>
              <w:t>Pacific Women’s Funds</w:t>
            </w:r>
            <w:r>
              <w:rPr>
                <w:webHidden/>
              </w:rPr>
              <w:tab/>
            </w:r>
            <w:r>
              <w:rPr>
                <w:webHidden/>
              </w:rPr>
              <w:fldChar w:fldCharType="begin"/>
            </w:r>
            <w:r>
              <w:rPr>
                <w:webHidden/>
              </w:rPr>
              <w:instrText xml:space="preserve"> PAGEREF _Toc208711163 \h </w:instrText>
            </w:r>
            <w:r>
              <w:rPr>
                <w:webHidden/>
              </w:rPr>
            </w:r>
            <w:r>
              <w:rPr>
                <w:webHidden/>
              </w:rPr>
              <w:fldChar w:fldCharType="separate"/>
            </w:r>
            <w:r w:rsidR="00890EE2">
              <w:rPr>
                <w:webHidden/>
              </w:rPr>
              <w:t>4</w:t>
            </w:r>
            <w:r>
              <w:rPr>
                <w:webHidden/>
              </w:rPr>
              <w:fldChar w:fldCharType="end"/>
            </w:r>
          </w:hyperlink>
        </w:p>
        <w:p w14:paraId="1CA7AD19" w14:textId="098936DD" w:rsidR="00B97657" w:rsidRDefault="00B97657" w:rsidP="006978D8">
          <w:pPr>
            <w:pStyle w:val="TOC2"/>
            <w:rPr>
              <w:rFonts w:asciiTheme="minorHAnsi" w:eastAsiaTheme="minorEastAsia" w:hAnsiTheme="minorHAnsi"/>
              <w:color w:val="auto"/>
              <w:kern w:val="2"/>
              <w:sz w:val="24"/>
              <w:szCs w:val="24"/>
              <w14:ligatures w14:val="standardContextual"/>
            </w:rPr>
          </w:pPr>
          <w:hyperlink w:anchor="_Toc208711164" w:history="1">
            <w:r w:rsidRPr="005E57AF">
              <w:rPr>
                <w:rStyle w:val="Hyperlink"/>
                <w:rFonts w:asciiTheme="majorHAnsi" w:hAnsiTheme="majorHAnsi"/>
              </w:rPr>
              <w:t>2.4</w:t>
            </w:r>
            <w:r>
              <w:rPr>
                <w:rFonts w:asciiTheme="minorHAnsi" w:eastAsiaTheme="minorEastAsia" w:hAnsiTheme="minorHAnsi"/>
                <w:color w:val="auto"/>
                <w:kern w:val="2"/>
                <w:sz w:val="24"/>
                <w:szCs w:val="24"/>
                <w14:ligatures w14:val="standardContextual"/>
              </w:rPr>
              <w:tab/>
            </w:r>
            <w:r w:rsidRPr="005E57AF">
              <w:rPr>
                <w:rStyle w:val="Hyperlink"/>
                <w:rFonts w:asciiTheme="majorHAnsi" w:hAnsiTheme="majorHAnsi"/>
              </w:rPr>
              <w:t>DFAT Regional</w:t>
            </w:r>
            <w:r>
              <w:rPr>
                <w:webHidden/>
              </w:rPr>
              <w:tab/>
            </w:r>
            <w:r>
              <w:rPr>
                <w:webHidden/>
              </w:rPr>
              <w:fldChar w:fldCharType="begin"/>
            </w:r>
            <w:r>
              <w:rPr>
                <w:webHidden/>
              </w:rPr>
              <w:instrText xml:space="preserve"> PAGEREF _Toc208711164 \h </w:instrText>
            </w:r>
            <w:r>
              <w:rPr>
                <w:webHidden/>
              </w:rPr>
            </w:r>
            <w:r>
              <w:rPr>
                <w:webHidden/>
              </w:rPr>
              <w:fldChar w:fldCharType="separate"/>
            </w:r>
            <w:r w:rsidR="00890EE2">
              <w:rPr>
                <w:webHidden/>
              </w:rPr>
              <w:t>5</w:t>
            </w:r>
            <w:r>
              <w:rPr>
                <w:webHidden/>
              </w:rPr>
              <w:fldChar w:fldCharType="end"/>
            </w:r>
          </w:hyperlink>
        </w:p>
        <w:p w14:paraId="67A8518D" w14:textId="5B0CA1E8" w:rsidR="00B97657" w:rsidRDefault="00B97657" w:rsidP="006978D8">
          <w:pPr>
            <w:pStyle w:val="TOC2"/>
            <w:rPr>
              <w:rFonts w:asciiTheme="minorHAnsi" w:eastAsiaTheme="minorEastAsia" w:hAnsiTheme="minorHAnsi"/>
              <w:color w:val="auto"/>
              <w:kern w:val="2"/>
              <w:sz w:val="24"/>
              <w:szCs w:val="24"/>
              <w14:ligatures w14:val="standardContextual"/>
            </w:rPr>
          </w:pPr>
          <w:hyperlink w:anchor="_Toc208711165" w:history="1">
            <w:r w:rsidRPr="005E57AF">
              <w:rPr>
                <w:rStyle w:val="Hyperlink"/>
                <w:rFonts w:asciiTheme="majorHAnsi" w:hAnsiTheme="majorHAnsi"/>
              </w:rPr>
              <w:t>2.5</w:t>
            </w:r>
            <w:r>
              <w:rPr>
                <w:rFonts w:asciiTheme="minorHAnsi" w:eastAsiaTheme="minorEastAsia" w:hAnsiTheme="minorHAnsi"/>
                <w:color w:val="auto"/>
                <w:kern w:val="2"/>
                <w:sz w:val="24"/>
                <w:szCs w:val="24"/>
                <w14:ligatures w14:val="standardContextual"/>
              </w:rPr>
              <w:tab/>
            </w:r>
            <w:r w:rsidRPr="005E57AF">
              <w:rPr>
                <w:rStyle w:val="Hyperlink"/>
                <w:rFonts w:asciiTheme="majorHAnsi" w:hAnsiTheme="majorHAnsi"/>
              </w:rPr>
              <w:t>DFAT Bilateral</w:t>
            </w:r>
            <w:r>
              <w:rPr>
                <w:webHidden/>
              </w:rPr>
              <w:tab/>
            </w:r>
            <w:r>
              <w:rPr>
                <w:webHidden/>
              </w:rPr>
              <w:fldChar w:fldCharType="begin"/>
            </w:r>
            <w:r>
              <w:rPr>
                <w:webHidden/>
              </w:rPr>
              <w:instrText xml:space="preserve"> PAGEREF _Toc208711165 \h </w:instrText>
            </w:r>
            <w:r>
              <w:rPr>
                <w:webHidden/>
              </w:rPr>
            </w:r>
            <w:r>
              <w:rPr>
                <w:webHidden/>
              </w:rPr>
              <w:fldChar w:fldCharType="separate"/>
            </w:r>
            <w:r w:rsidR="00890EE2">
              <w:rPr>
                <w:webHidden/>
              </w:rPr>
              <w:t>13</w:t>
            </w:r>
            <w:r>
              <w:rPr>
                <w:webHidden/>
              </w:rPr>
              <w:fldChar w:fldCharType="end"/>
            </w:r>
          </w:hyperlink>
        </w:p>
        <w:p w14:paraId="3F4D7446" w14:textId="7F481B83" w:rsidR="00B97657" w:rsidRDefault="00B97657" w:rsidP="006978D8">
          <w:pPr>
            <w:pStyle w:val="TOC2"/>
            <w:rPr>
              <w:rFonts w:asciiTheme="minorHAnsi" w:eastAsiaTheme="minorEastAsia" w:hAnsiTheme="minorHAnsi"/>
              <w:color w:val="auto"/>
              <w:kern w:val="2"/>
              <w:sz w:val="24"/>
              <w:szCs w:val="24"/>
              <w14:ligatures w14:val="standardContextual"/>
            </w:rPr>
          </w:pPr>
          <w:hyperlink w:anchor="_Toc208711166" w:history="1">
            <w:r w:rsidRPr="005E57AF">
              <w:rPr>
                <w:rStyle w:val="Hyperlink"/>
                <w:rFonts w:asciiTheme="majorHAnsi" w:hAnsiTheme="majorHAnsi" w:cstheme="majorHAnsi"/>
              </w:rPr>
              <w:t>2.6</w:t>
            </w:r>
            <w:r>
              <w:rPr>
                <w:rFonts w:asciiTheme="minorHAnsi" w:eastAsiaTheme="minorEastAsia" w:hAnsiTheme="minorHAnsi"/>
                <w:color w:val="auto"/>
                <w:kern w:val="2"/>
                <w:sz w:val="24"/>
                <w:szCs w:val="24"/>
                <w14:ligatures w14:val="standardContextual"/>
              </w:rPr>
              <w:tab/>
            </w:r>
            <w:r w:rsidRPr="005E57AF">
              <w:rPr>
                <w:rStyle w:val="Hyperlink"/>
                <w:rFonts w:asciiTheme="majorHAnsi" w:hAnsiTheme="majorHAnsi" w:cstheme="majorHAnsi"/>
              </w:rPr>
              <w:t>Pacific Women Lead Enabling Services</w:t>
            </w:r>
            <w:r>
              <w:rPr>
                <w:webHidden/>
              </w:rPr>
              <w:tab/>
            </w:r>
            <w:r>
              <w:rPr>
                <w:webHidden/>
              </w:rPr>
              <w:fldChar w:fldCharType="begin"/>
            </w:r>
            <w:r>
              <w:rPr>
                <w:webHidden/>
              </w:rPr>
              <w:instrText xml:space="preserve"> PAGEREF _Toc208711166 \h </w:instrText>
            </w:r>
            <w:r>
              <w:rPr>
                <w:webHidden/>
              </w:rPr>
            </w:r>
            <w:r>
              <w:rPr>
                <w:webHidden/>
              </w:rPr>
              <w:fldChar w:fldCharType="separate"/>
            </w:r>
            <w:r w:rsidR="00890EE2">
              <w:rPr>
                <w:webHidden/>
              </w:rPr>
              <w:t>17</w:t>
            </w:r>
            <w:r>
              <w:rPr>
                <w:webHidden/>
              </w:rPr>
              <w:fldChar w:fldCharType="end"/>
            </w:r>
          </w:hyperlink>
        </w:p>
        <w:p w14:paraId="19728A68" w14:textId="1D0DBDCA" w:rsidR="00B97657" w:rsidRDefault="00B97657" w:rsidP="006978D8">
          <w:pPr>
            <w:pStyle w:val="TOC1"/>
            <w:rPr>
              <w:rFonts w:asciiTheme="minorHAnsi" w:eastAsiaTheme="minorEastAsia" w:hAnsiTheme="minorHAnsi"/>
              <w:b w:val="0"/>
              <w:color w:val="auto"/>
              <w:kern w:val="2"/>
              <w:sz w:val="24"/>
              <w:szCs w:val="24"/>
              <w14:ligatures w14:val="standardContextual"/>
            </w:rPr>
          </w:pPr>
          <w:hyperlink w:anchor="_Toc208711167" w:history="1">
            <w:r w:rsidRPr="005E57AF">
              <w:rPr>
                <w:rStyle w:val="Hyperlink"/>
                <w:rFonts w:asciiTheme="majorHAnsi" w:hAnsiTheme="majorHAnsi" w:cstheme="majorHAnsi"/>
              </w:rPr>
              <w:t>3</w:t>
            </w:r>
            <w:r>
              <w:rPr>
                <w:rFonts w:asciiTheme="minorHAnsi" w:eastAsiaTheme="minorEastAsia" w:hAnsiTheme="minorHAnsi"/>
                <w:b w:val="0"/>
                <w:color w:val="auto"/>
                <w:kern w:val="2"/>
                <w:sz w:val="24"/>
                <w:szCs w:val="24"/>
                <w14:ligatures w14:val="standardContextual"/>
              </w:rPr>
              <w:tab/>
            </w:r>
            <w:r w:rsidRPr="005E57AF">
              <w:rPr>
                <w:rStyle w:val="Hyperlink"/>
                <w:rFonts w:asciiTheme="majorHAnsi" w:hAnsiTheme="majorHAnsi" w:cstheme="majorHAnsi"/>
              </w:rPr>
              <w:t>Impact stories and reach data for DFAT bilateral projects</w:t>
            </w:r>
            <w:r>
              <w:rPr>
                <w:webHidden/>
              </w:rPr>
              <w:tab/>
            </w:r>
            <w:r>
              <w:rPr>
                <w:webHidden/>
              </w:rPr>
              <w:fldChar w:fldCharType="begin"/>
            </w:r>
            <w:r>
              <w:rPr>
                <w:webHidden/>
              </w:rPr>
              <w:instrText xml:space="preserve"> PAGEREF _Toc208711167 \h </w:instrText>
            </w:r>
            <w:r>
              <w:rPr>
                <w:webHidden/>
              </w:rPr>
            </w:r>
            <w:r>
              <w:rPr>
                <w:webHidden/>
              </w:rPr>
              <w:fldChar w:fldCharType="separate"/>
            </w:r>
            <w:r w:rsidR="00890EE2">
              <w:rPr>
                <w:webHidden/>
              </w:rPr>
              <w:t>17</w:t>
            </w:r>
            <w:r>
              <w:rPr>
                <w:webHidden/>
              </w:rPr>
              <w:fldChar w:fldCharType="end"/>
            </w:r>
          </w:hyperlink>
        </w:p>
        <w:p w14:paraId="5A347D9D" w14:textId="55F9F7E8" w:rsidR="00B97657" w:rsidRDefault="00B97657" w:rsidP="006978D8">
          <w:pPr>
            <w:pStyle w:val="TOC2"/>
            <w:rPr>
              <w:rFonts w:asciiTheme="minorHAnsi" w:eastAsiaTheme="minorEastAsia" w:hAnsiTheme="minorHAnsi"/>
              <w:color w:val="auto"/>
              <w:kern w:val="2"/>
              <w:sz w:val="24"/>
              <w:szCs w:val="24"/>
              <w14:ligatures w14:val="standardContextual"/>
            </w:rPr>
          </w:pPr>
          <w:hyperlink w:anchor="_Toc208711168" w:history="1">
            <w:r w:rsidRPr="005E57AF">
              <w:rPr>
                <w:rStyle w:val="Hyperlink"/>
                <w:rFonts w:asciiTheme="majorHAnsi" w:hAnsiTheme="majorHAnsi" w:cstheme="majorHAnsi"/>
              </w:rPr>
              <w:t>3.1</w:t>
            </w:r>
            <w:r>
              <w:rPr>
                <w:rFonts w:asciiTheme="minorHAnsi" w:eastAsiaTheme="minorEastAsia" w:hAnsiTheme="minorHAnsi"/>
                <w:color w:val="auto"/>
                <w:kern w:val="2"/>
                <w:sz w:val="24"/>
                <w:szCs w:val="24"/>
                <w14:ligatures w14:val="standardContextual"/>
              </w:rPr>
              <w:tab/>
            </w:r>
            <w:r w:rsidRPr="005E57AF">
              <w:rPr>
                <w:rStyle w:val="Hyperlink"/>
                <w:rFonts w:asciiTheme="majorHAnsi" w:hAnsiTheme="majorHAnsi" w:cstheme="majorHAnsi"/>
              </w:rPr>
              <w:t>Impact stories</w:t>
            </w:r>
            <w:r>
              <w:rPr>
                <w:webHidden/>
              </w:rPr>
              <w:tab/>
            </w:r>
            <w:r>
              <w:rPr>
                <w:webHidden/>
              </w:rPr>
              <w:fldChar w:fldCharType="begin"/>
            </w:r>
            <w:r>
              <w:rPr>
                <w:webHidden/>
              </w:rPr>
              <w:instrText xml:space="preserve"> PAGEREF _Toc208711168 \h </w:instrText>
            </w:r>
            <w:r>
              <w:rPr>
                <w:webHidden/>
              </w:rPr>
            </w:r>
            <w:r>
              <w:rPr>
                <w:webHidden/>
              </w:rPr>
              <w:fldChar w:fldCharType="separate"/>
            </w:r>
            <w:r w:rsidR="00890EE2">
              <w:rPr>
                <w:webHidden/>
              </w:rPr>
              <w:t>17</w:t>
            </w:r>
            <w:r>
              <w:rPr>
                <w:webHidden/>
              </w:rPr>
              <w:fldChar w:fldCharType="end"/>
            </w:r>
          </w:hyperlink>
        </w:p>
        <w:p w14:paraId="2AC3D4F7" w14:textId="63A35E18" w:rsidR="00B97657" w:rsidRDefault="00B97657" w:rsidP="006978D8">
          <w:pPr>
            <w:pStyle w:val="TOC2"/>
            <w:rPr>
              <w:rFonts w:asciiTheme="minorHAnsi" w:eastAsiaTheme="minorEastAsia" w:hAnsiTheme="minorHAnsi"/>
              <w:color w:val="auto"/>
              <w:kern w:val="2"/>
              <w:sz w:val="24"/>
              <w:szCs w:val="24"/>
              <w14:ligatures w14:val="standardContextual"/>
            </w:rPr>
          </w:pPr>
          <w:hyperlink w:anchor="_Toc208711169" w:history="1">
            <w:r w:rsidRPr="005E57AF">
              <w:rPr>
                <w:rStyle w:val="Hyperlink"/>
                <w:rFonts w:asciiTheme="majorHAnsi" w:hAnsiTheme="majorHAnsi" w:cstheme="majorHAnsi"/>
              </w:rPr>
              <w:t>3.2</w:t>
            </w:r>
            <w:r>
              <w:rPr>
                <w:rFonts w:asciiTheme="minorHAnsi" w:eastAsiaTheme="minorEastAsia" w:hAnsiTheme="minorHAnsi"/>
                <w:color w:val="auto"/>
                <w:kern w:val="2"/>
                <w:sz w:val="24"/>
                <w:szCs w:val="24"/>
                <w14:ligatures w14:val="standardContextual"/>
              </w:rPr>
              <w:tab/>
            </w:r>
            <w:r w:rsidRPr="005E57AF">
              <w:rPr>
                <w:rStyle w:val="Hyperlink"/>
                <w:rFonts w:asciiTheme="majorHAnsi" w:hAnsiTheme="majorHAnsi" w:cstheme="majorHAnsi"/>
              </w:rPr>
              <w:t>Cumulative reach data</w:t>
            </w:r>
            <w:r>
              <w:rPr>
                <w:webHidden/>
              </w:rPr>
              <w:tab/>
            </w:r>
            <w:r>
              <w:rPr>
                <w:webHidden/>
              </w:rPr>
              <w:fldChar w:fldCharType="begin"/>
            </w:r>
            <w:r>
              <w:rPr>
                <w:webHidden/>
              </w:rPr>
              <w:instrText xml:space="preserve"> PAGEREF _Toc208711169 \h </w:instrText>
            </w:r>
            <w:r>
              <w:rPr>
                <w:webHidden/>
              </w:rPr>
            </w:r>
            <w:r>
              <w:rPr>
                <w:webHidden/>
              </w:rPr>
              <w:fldChar w:fldCharType="separate"/>
            </w:r>
            <w:r w:rsidR="00890EE2">
              <w:rPr>
                <w:webHidden/>
              </w:rPr>
              <w:t>17</w:t>
            </w:r>
            <w:r>
              <w:rPr>
                <w:webHidden/>
              </w:rPr>
              <w:fldChar w:fldCharType="end"/>
            </w:r>
          </w:hyperlink>
        </w:p>
        <w:p w14:paraId="35CDD4E8" w14:textId="5D8C96C5" w:rsidR="00B97657" w:rsidRDefault="00B97657" w:rsidP="006978D8">
          <w:pPr>
            <w:pStyle w:val="TOC1"/>
            <w:rPr>
              <w:rFonts w:asciiTheme="minorHAnsi" w:eastAsiaTheme="minorEastAsia" w:hAnsiTheme="minorHAnsi"/>
              <w:b w:val="0"/>
              <w:color w:val="auto"/>
              <w:kern w:val="2"/>
              <w:sz w:val="24"/>
              <w:szCs w:val="24"/>
              <w14:ligatures w14:val="standardContextual"/>
            </w:rPr>
          </w:pPr>
          <w:hyperlink w:anchor="_Toc208711170" w:history="1">
            <w:r w:rsidRPr="005E57AF">
              <w:rPr>
                <w:rStyle w:val="Hyperlink"/>
                <w:rFonts w:asciiTheme="majorHAnsi" w:hAnsiTheme="majorHAnsi" w:cstheme="majorHAnsi"/>
              </w:rPr>
              <w:t>4</w:t>
            </w:r>
            <w:r>
              <w:rPr>
                <w:rFonts w:asciiTheme="minorHAnsi" w:eastAsiaTheme="minorEastAsia" w:hAnsiTheme="minorHAnsi"/>
                <w:b w:val="0"/>
                <w:color w:val="auto"/>
                <w:kern w:val="2"/>
                <w:sz w:val="24"/>
                <w:szCs w:val="24"/>
                <w14:ligatures w14:val="standardContextual"/>
              </w:rPr>
              <w:tab/>
            </w:r>
            <w:r w:rsidRPr="005E57AF">
              <w:rPr>
                <w:rStyle w:val="Hyperlink"/>
                <w:rFonts w:asciiTheme="majorHAnsi" w:hAnsiTheme="majorHAnsi" w:cstheme="majorHAnsi"/>
              </w:rPr>
              <w:t>More information and support</w:t>
            </w:r>
            <w:r>
              <w:rPr>
                <w:webHidden/>
              </w:rPr>
              <w:tab/>
            </w:r>
            <w:r>
              <w:rPr>
                <w:webHidden/>
              </w:rPr>
              <w:fldChar w:fldCharType="begin"/>
            </w:r>
            <w:r>
              <w:rPr>
                <w:webHidden/>
              </w:rPr>
              <w:instrText xml:space="preserve"> PAGEREF _Toc208711170 \h </w:instrText>
            </w:r>
            <w:r>
              <w:rPr>
                <w:webHidden/>
              </w:rPr>
            </w:r>
            <w:r>
              <w:rPr>
                <w:webHidden/>
              </w:rPr>
              <w:fldChar w:fldCharType="separate"/>
            </w:r>
            <w:r w:rsidR="00890EE2">
              <w:rPr>
                <w:webHidden/>
              </w:rPr>
              <w:t>17</w:t>
            </w:r>
            <w:r>
              <w:rPr>
                <w:webHidden/>
              </w:rPr>
              <w:fldChar w:fldCharType="end"/>
            </w:r>
          </w:hyperlink>
        </w:p>
        <w:p w14:paraId="346DA591" w14:textId="6FC581E5" w:rsidR="00B97657" w:rsidRDefault="00B97657" w:rsidP="006978D8">
          <w:pPr>
            <w:pStyle w:val="TOC2"/>
            <w:rPr>
              <w:rFonts w:asciiTheme="minorHAnsi" w:eastAsiaTheme="minorEastAsia" w:hAnsiTheme="minorHAnsi"/>
              <w:color w:val="auto"/>
              <w:kern w:val="2"/>
              <w:sz w:val="24"/>
              <w:szCs w:val="24"/>
              <w14:ligatures w14:val="standardContextual"/>
            </w:rPr>
          </w:pPr>
          <w:hyperlink w:anchor="_Toc208711171" w:history="1">
            <w:r w:rsidRPr="005E57AF">
              <w:rPr>
                <w:rStyle w:val="Hyperlink"/>
                <w:rFonts w:asciiTheme="majorHAnsi" w:hAnsiTheme="majorHAnsi" w:cstheme="majorHAnsi"/>
              </w:rPr>
              <w:t>4.1</w:t>
            </w:r>
            <w:r>
              <w:rPr>
                <w:rFonts w:asciiTheme="minorHAnsi" w:eastAsiaTheme="minorEastAsia" w:hAnsiTheme="minorHAnsi"/>
                <w:color w:val="auto"/>
                <w:kern w:val="2"/>
                <w:sz w:val="24"/>
                <w:szCs w:val="24"/>
                <w14:ligatures w14:val="standardContextual"/>
              </w:rPr>
              <w:tab/>
            </w:r>
            <w:r w:rsidRPr="005E57AF">
              <w:rPr>
                <w:rStyle w:val="Hyperlink"/>
                <w:rFonts w:asciiTheme="majorHAnsi" w:hAnsiTheme="majorHAnsi" w:cstheme="majorHAnsi"/>
              </w:rPr>
              <w:t>Monitoring, evaluation and learning support</w:t>
            </w:r>
            <w:r>
              <w:rPr>
                <w:webHidden/>
              </w:rPr>
              <w:tab/>
            </w:r>
            <w:r>
              <w:rPr>
                <w:webHidden/>
              </w:rPr>
              <w:fldChar w:fldCharType="begin"/>
            </w:r>
            <w:r>
              <w:rPr>
                <w:webHidden/>
              </w:rPr>
              <w:instrText xml:space="preserve"> PAGEREF _Toc208711171 \h </w:instrText>
            </w:r>
            <w:r>
              <w:rPr>
                <w:webHidden/>
              </w:rPr>
            </w:r>
            <w:r>
              <w:rPr>
                <w:webHidden/>
              </w:rPr>
              <w:fldChar w:fldCharType="separate"/>
            </w:r>
            <w:r w:rsidR="00890EE2">
              <w:rPr>
                <w:webHidden/>
              </w:rPr>
              <w:t>17</w:t>
            </w:r>
            <w:r>
              <w:rPr>
                <w:webHidden/>
              </w:rPr>
              <w:fldChar w:fldCharType="end"/>
            </w:r>
          </w:hyperlink>
        </w:p>
        <w:p w14:paraId="6D758AFB" w14:textId="4EB95771" w:rsidR="00B97657" w:rsidRDefault="00B97657" w:rsidP="006978D8">
          <w:pPr>
            <w:pStyle w:val="TOC2"/>
            <w:rPr>
              <w:rFonts w:asciiTheme="minorHAnsi" w:eastAsiaTheme="minorEastAsia" w:hAnsiTheme="minorHAnsi"/>
              <w:color w:val="auto"/>
              <w:kern w:val="2"/>
              <w:sz w:val="24"/>
              <w:szCs w:val="24"/>
              <w14:ligatures w14:val="standardContextual"/>
            </w:rPr>
          </w:pPr>
          <w:hyperlink w:anchor="_Toc208711172" w:history="1">
            <w:r w:rsidRPr="005E57AF">
              <w:rPr>
                <w:rStyle w:val="Hyperlink"/>
              </w:rPr>
              <w:t>4.2</w:t>
            </w:r>
            <w:r>
              <w:rPr>
                <w:rFonts w:asciiTheme="minorHAnsi" w:eastAsiaTheme="minorEastAsia" w:hAnsiTheme="minorHAnsi"/>
                <w:color w:val="auto"/>
                <w:kern w:val="2"/>
                <w:sz w:val="24"/>
                <w:szCs w:val="24"/>
                <w14:ligatures w14:val="standardContextual"/>
              </w:rPr>
              <w:tab/>
            </w:r>
            <w:r w:rsidRPr="005E57AF">
              <w:rPr>
                <w:rStyle w:val="Hyperlink"/>
              </w:rPr>
              <w:t>Quality Technical Assurance Group (QTAG)</w:t>
            </w:r>
            <w:r>
              <w:rPr>
                <w:webHidden/>
              </w:rPr>
              <w:tab/>
            </w:r>
            <w:r>
              <w:rPr>
                <w:webHidden/>
              </w:rPr>
              <w:fldChar w:fldCharType="begin"/>
            </w:r>
            <w:r>
              <w:rPr>
                <w:webHidden/>
              </w:rPr>
              <w:instrText xml:space="preserve"> PAGEREF _Toc208711172 \h </w:instrText>
            </w:r>
            <w:r>
              <w:rPr>
                <w:webHidden/>
              </w:rPr>
            </w:r>
            <w:r>
              <w:rPr>
                <w:webHidden/>
              </w:rPr>
              <w:fldChar w:fldCharType="separate"/>
            </w:r>
            <w:r w:rsidR="00890EE2">
              <w:rPr>
                <w:webHidden/>
              </w:rPr>
              <w:t>18</w:t>
            </w:r>
            <w:r>
              <w:rPr>
                <w:webHidden/>
              </w:rPr>
              <w:fldChar w:fldCharType="end"/>
            </w:r>
          </w:hyperlink>
        </w:p>
        <w:p w14:paraId="5161C12F" w14:textId="719E6EE6" w:rsidR="00B97657" w:rsidRDefault="00B97657" w:rsidP="006978D8">
          <w:pPr>
            <w:pStyle w:val="TOC2"/>
            <w:rPr>
              <w:rFonts w:asciiTheme="minorHAnsi" w:eastAsiaTheme="minorEastAsia" w:hAnsiTheme="minorHAnsi"/>
              <w:color w:val="auto"/>
              <w:kern w:val="2"/>
              <w:sz w:val="24"/>
              <w:szCs w:val="24"/>
              <w14:ligatures w14:val="standardContextual"/>
            </w:rPr>
          </w:pPr>
          <w:hyperlink w:anchor="_Toc208711173" w:history="1">
            <w:r w:rsidRPr="005E57AF">
              <w:rPr>
                <w:rStyle w:val="Hyperlink"/>
              </w:rPr>
              <w:t>4.3</w:t>
            </w:r>
            <w:r>
              <w:rPr>
                <w:rFonts w:asciiTheme="minorHAnsi" w:eastAsiaTheme="minorEastAsia" w:hAnsiTheme="minorHAnsi"/>
                <w:color w:val="auto"/>
                <w:kern w:val="2"/>
                <w:sz w:val="24"/>
                <w:szCs w:val="24"/>
                <w14:ligatures w14:val="standardContextual"/>
              </w:rPr>
              <w:tab/>
            </w:r>
            <w:r w:rsidRPr="005E57AF">
              <w:rPr>
                <w:rStyle w:val="Hyperlink"/>
              </w:rPr>
              <w:t>Grant management</w:t>
            </w:r>
            <w:r>
              <w:rPr>
                <w:webHidden/>
              </w:rPr>
              <w:tab/>
            </w:r>
            <w:r>
              <w:rPr>
                <w:webHidden/>
              </w:rPr>
              <w:fldChar w:fldCharType="begin"/>
            </w:r>
            <w:r>
              <w:rPr>
                <w:webHidden/>
              </w:rPr>
              <w:instrText xml:space="preserve"> PAGEREF _Toc208711173 \h </w:instrText>
            </w:r>
            <w:r>
              <w:rPr>
                <w:webHidden/>
              </w:rPr>
            </w:r>
            <w:r>
              <w:rPr>
                <w:webHidden/>
              </w:rPr>
              <w:fldChar w:fldCharType="separate"/>
            </w:r>
            <w:r w:rsidR="00890EE2">
              <w:rPr>
                <w:webHidden/>
              </w:rPr>
              <w:t>18</w:t>
            </w:r>
            <w:r>
              <w:rPr>
                <w:webHidden/>
              </w:rPr>
              <w:fldChar w:fldCharType="end"/>
            </w:r>
          </w:hyperlink>
        </w:p>
        <w:p w14:paraId="2E3D079C" w14:textId="434DF870" w:rsidR="00B97657" w:rsidRDefault="00B97657" w:rsidP="006978D8">
          <w:pPr>
            <w:pStyle w:val="TOC2"/>
            <w:rPr>
              <w:rFonts w:asciiTheme="minorHAnsi" w:eastAsiaTheme="minorEastAsia" w:hAnsiTheme="minorHAnsi"/>
              <w:color w:val="auto"/>
              <w:kern w:val="2"/>
              <w:sz w:val="24"/>
              <w:szCs w:val="24"/>
              <w14:ligatures w14:val="standardContextual"/>
            </w:rPr>
          </w:pPr>
          <w:hyperlink w:anchor="_Toc208711174" w:history="1">
            <w:r w:rsidRPr="005E57AF">
              <w:rPr>
                <w:rStyle w:val="Hyperlink"/>
              </w:rPr>
              <w:t>4.4</w:t>
            </w:r>
            <w:r>
              <w:rPr>
                <w:rFonts w:asciiTheme="minorHAnsi" w:eastAsiaTheme="minorEastAsia" w:hAnsiTheme="minorHAnsi"/>
                <w:color w:val="auto"/>
                <w:kern w:val="2"/>
                <w:sz w:val="24"/>
                <w:szCs w:val="24"/>
                <w14:ligatures w14:val="standardContextual"/>
              </w:rPr>
              <w:tab/>
            </w:r>
            <w:r w:rsidRPr="005E57AF">
              <w:rPr>
                <w:rStyle w:val="Hyperlink"/>
              </w:rPr>
              <w:t>Contact and feedback</w:t>
            </w:r>
            <w:r>
              <w:rPr>
                <w:webHidden/>
              </w:rPr>
              <w:tab/>
            </w:r>
            <w:r>
              <w:rPr>
                <w:webHidden/>
              </w:rPr>
              <w:fldChar w:fldCharType="begin"/>
            </w:r>
            <w:r>
              <w:rPr>
                <w:webHidden/>
              </w:rPr>
              <w:instrText xml:space="preserve"> PAGEREF _Toc208711174 \h </w:instrText>
            </w:r>
            <w:r>
              <w:rPr>
                <w:webHidden/>
              </w:rPr>
            </w:r>
            <w:r>
              <w:rPr>
                <w:webHidden/>
              </w:rPr>
              <w:fldChar w:fldCharType="separate"/>
            </w:r>
            <w:r w:rsidR="00890EE2">
              <w:rPr>
                <w:webHidden/>
              </w:rPr>
              <w:t>18</w:t>
            </w:r>
            <w:r>
              <w:rPr>
                <w:webHidden/>
              </w:rPr>
              <w:fldChar w:fldCharType="end"/>
            </w:r>
          </w:hyperlink>
        </w:p>
        <w:p w14:paraId="7659B5D9" w14:textId="4943D59B" w:rsidR="00B97657" w:rsidRDefault="00B97657" w:rsidP="006978D8">
          <w:pPr>
            <w:pStyle w:val="TOC1"/>
            <w:rPr>
              <w:rFonts w:asciiTheme="minorHAnsi" w:eastAsiaTheme="minorEastAsia" w:hAnsiTheme="minorHAnsi"/>
              <w:b w:val="0"/>
              <w:color w:val="auto"/>
              <w:kern w:val="2"/>
              <w:sz w:val="24"/>
              <w:szCs w:val="24"/>
              <w14:ligatures w14:val="standardContextual"/>
            </w:rPr>
          </w:pPr>
          <w:hyperlink w:anchor="_Toc208711175" w:history="1">
            <w:r w:rsidRPr="005E57AF">
              <w:rPr>
                <w:rStyle w:val="Hyperlink"/>
              </w:rPr>
              <w:t>5</w:t>
            </w:r>
            <w:r>
              <w:rPr>
                <w:rFonts w:asciiTheme="minorHAnsi" w:eastAsiaTheme="minorEastAsia" w:hAnsiTheme="minorHAnsi"/>
                <w:b w:val="0"/>
                <w:color w:val="auto"/>
                <w:kern w:val="2"/>
                <w:sz w:val="24"/>
                <w:szCs w:val="24"/>
                <w14:ligatures w14:val="standardContextual"/>
              </w:rPr>
              <w:tab/>
            </w:r>
            <w:r w:rsidRPr="005E57AF">
              <w:rPr>
                <w:rStyle w:val="Hyperlink"/>
              </w:rPr>
              <w:t>Annex 1 Cumulative reach data (2021 – present) for DFAT bilateral grants</w:t>
            </w:r>
            <w:r>
              <w:rPr>
                <w:webHidden/>
              </w:rPr>
              <w:tab/>
            </w:r>
            <w:r>
              <w:rPr>
                <w:webHidden/>
              </w:rPr>
              <w:fldChar w:fldCharType="begin"/>
            </w:r>
            <w:r>
              <w:rPr>
                <w:webHidden/>
              </w:rPr>
              <w:instrText xml:space="preserve"> PAGEREF _Toc208711175 \h </w:instrText>
            </w:r>
            <w:r>
              <w:rPr>
                <w:webHidden/>
              </w:rPr>
            </w:r>
            <w:r>
              <w:rPr>
                <w:webHidden/>
              </w:rPr>
              <w:fldChar w:fldCharType="separate"/>
            </w:r>
            <w:r w:rsidR="00890EE2">
              <w:rPr>
                <w:webHidden/>
              </w:rPr>
              <w:t>19</w:t>
            </w:r>
            <w:r>
              <w:rPr>
                <w:webHidden/>
              </w:rPr>
              <w:fldChar w:fldCharType="end"/>
            </w:r>
          </w:hyperlink>
        </w:p>
        <w:p w14:paraId="20FC9BB9" w14:textId="6AA23F4A" w:rsidR="6643C3DA" w:rsidRDefault="6643C3DA" w:rsidP="006978D8">
          <w:pPr>
            <w:spacing w:line="276" w:lineRule="auto"/>
            <w:jc w:val="left"/>
            <w:rPr>
              <w:rFonts w:asciiTheme="majorHAnsi" w:hAnsiTheme="majorHAnsi" w:cstheme="majorBidi"/>
              <w:sz w:val="20"/>
              <w:szCs w:val="20"/>
            </w:rPr>
          </w:pPr>
          <w:r w:rsidRPr="6643C3DA">
            <w:rPr>
              <w:rFonts w:asciiTheme="majorHAnsi" w:hAnsiTheme="majorHAnsi" w:cstheme="majorBidi"/>
              <w:b/>
              <w:bCs/>
              <w:sz w:val="20"/>
              <w:szCs w:val="20"/>
            </w:rPr>
            <w:fldChar w:fldCharType="end"/>
          </w:r>
        </w:p>
      </w:sdtContent>
    </w:sdt>
    <w:p w14:paraId="27F128C3" w14:textId="5D893F8B" w:rsidR="6643C3DA" w:rsidRDefault="6643C3DA" w:rsidP="006978D8">
      <w:pPr>
        <w:jc w:val="left"/>
      </w:pPr>
    </w:p>
    <w:p w14:paraId="73EF9AAC" w14:textId="20232EA9" w:rsidR="6643C3DA" w:rsidRDefault="6643C3DA" w:rsidP="006978D8">
      <w:pPr>
        <w:jc w:val="left"/>
      </w:pPr>
    </w:p>
    <w:p w14:paraId="2F9B6C50" w14:textId="1BAA0AFA" w:rsidR="6643C3DA" w:rsidRDefault="6643C3DA" w:rsidP="006978D8">
      <w:pPr>
        <w:jc w:val="left"/>
      </w:pPr>
    </w:p>
    <w:p w14:paraId="6B5FE574" w14:textId="59AD0EE4" w:rsidR="6643C3DA" w:rsidRDefault="6643C3DA" w:rsidP="006978D8">
      <w:pPr>
        <w:jc w:val="left"/>
      </w:pPr>
    </w:p>
    <w:p w14:paraId="06383D89" w14:textId="3136E83F" w:rsidR="6643C3DA" w:rsidRDefault="6643C3DA" w:rsidP="006978D8">
      <w:pPr>
        <w:jc w:val="left"/>
      </w:pPr>
    </w:p>
    <w:p w14:paraId="15A7AF14" w14:textId="24650A63" w:rsidR="6643C3DA" w:rsidRDefault="6643C3DA" w:rsidP="006978D8">
      <w:pPr>
        <w:jc w:val="left"/>
        <w:sectPr w:rsidR="6643C3DA" w:rsidSect="00332E8F">
          <w:pgSz w:w="11906" w:h="16840"/>
          <w:pgMar w:top="720" w:right="1152" w:bottom="720" w:left="1152" w:header="562" w:footer="562" w:gutter="0"/>
          <w:cols w:space="708"/>
          <w:docGrid w:linePitch="360"/>
        </w:sectPr>
      </w:pPr>
    </w:p>
    <w:p w14:paraId="3458243D" w14:textId="54FD8D80" w:rsidR="00085363" w:rsidRPr="00F56579" w:rsidRDefault="23B16E37" w:rsidP="006978D8">
      <w:pPr>
        <w:pStyle w:val="Heading1"/>
      </w:pPr>
      <w:bookmarkStart w:id="1" w:name="_Toc208711159"/>
      <w:bookmarkStart w:id="2" w:name="_Hlk131511094"/>
      <w:r>
        <w:lastRenderedPageBreak/>
        <w:t xml:space="preserve">About </w:t>
      </w:r>
      <w:r w:rsidR="6FBA614D">
        <w:t>Pacific Women Lead</w:t>
      </w:r>
      <w:bookmarkEnd w:id="1"/>
      <w:r w:rsidR="6FBA614D">
        <w:t xml:space="preserve"> </w:t>
      </w:r>
    </w:p>
    <w:bookmarkEnd w:id="2"/>
    <w:p w14:paraId="77BB544F" w14:textId="38BD1EE2" w:rsidR="00E34E37" w:rsidRPr="00F56579" w:rsidRDefault="00E34E37" w:rsidP="006978D8">
      <w:pPr>
        <w:pStyle w:val="BodyText"/>
        <w:spacing w:after="120"/>
        <w:rPr>
          <w:rStyle w:val="normaltextrun"/>
          <w:rFonts w:asciiTheme="majorHAnsi" w:eastAsiaTheme="majorEastAsia" w:hAnsiTheme="majorHAnsi" w:cstheme="majorHAnsi"/>
          <w:color w:val="004B64" w:themeColor="accent2"/>
          <w:sz w:val="32"/>
          <w:szCs w:val="20"/>
        </w:rPr>
      </w:pPr>
      <w:r w:rsidRPr="00F56579">
        <w:rPr>
          <w:rStyle w:val="normaltextrun"/>
          <w:rFonts w:asciiTheme="majorHAnsi" w:hAnsiTheme="majorHAnsi" w:cstheme="majorHAnsi"/>
          <w:szCs w:val="20"/>
        </w:rPr>
        <w:t xml:space="preserve">Pacific Women Lead (PWL) is a portfolio of regional investments valued at AUD170 million over 5 years (2021 – 2026). PWL aims to advance gender equality and is ambitious in its intent to take a Pacific-led, intersectional and transformative approach to promoting gender equality in the region and bringing new emphasis to strengthening regional action and architecture in support of gender equality. </w:t>
      </w:r>
    </w:p>
    <w:p w14:paraId="6394886E" w14:textId="30695AD1" w:rsidR="00775AC0" w:rsidRPr="00F56579" w:rsidRDefault="00E34E37" w:rsidP="006978D8">
      <w:pPr>
        <w:pStyle w:val="BodyText"/>
        <w:spacing w:after="120"/>
        <w:rPr>
          <w:rFonts w:asciiTheme="majorHAnsi" w:hAnsiTheme="majorHAnsi" w:cstheme="majorHAnsi"/>
          <w:szCs w:val="20"/>
        </w:rPr>
      </w:pPr>
      <w:r w:rsidRPr="00F56579">
        <w:rPr>
          <w:rFonts w:asciiTheme="majorHAnsi" w:hAnsiTheme="majorHAnsi" w:cstheme="majorHAnsi"/>
          <w:szCs w:val="20"/>
        </w:rPr>
        <w:t>The goal of PWL is for: Pacific women and girls, in all their diversity, to be safe and equitably share in resources, opportunities and decision-making with men and boys.</w:t>
      </w:r>
      <w:r w:rsidR="00951D01" w:rsidRPr="00F56579">
        <w:rPr>
          <w:rFonts w:asciiTheme="majorHAnsi" w:hAnsiTheme="majorHAnsi" w:cstheme="majorHAnsi"/>
          <w:szCs w:val="20"/>
        </w:rPr>
        <w:t xml:space="preserve"> </w:t>
      </w:r>
      <w:r w:rsidR="00775AC0" w:rsidRPr="00F56579">
        <w:rPr>
          <w:rFonts w:asciiTheme="majorHAnsi" w:hAnsiTheme="majorHAnsi" w:cstheme="majorHAnsi"/>
          <w:szCs w:val="20"/>
        </w:rPr>
        <w:t>For m</w:t>
      </w:r>
      <w:r w:rsidR="00951D01" w:rsidRPr="00F56579">
        <w:rPr>
          <w:rFonts w:asciiTheme="majorHAnsi" w:hAnsiTheme="majorHAnsi" w:cstheme="majorHAnsi"/>
          <w:szCs w:val="20"/>
        </w:rPr>
        <w:t xml:space="preserve">ore information </w:t>
      </w:r>
      <w:r w:rsidR="00775AC0" w:rsidRPr="00F56579">
        <w:rPr>
          <w:rFonts w:asciiTheme="majorHAnsi" w:hAnsiTheme="majorHAnsi" w:cstheme="majorHAnsi"/>
          <w:szCs w:val="20"/>
        </w:rPr>
        <w:t xml:space="preserve">visit </w:t>
      </w:r>
      <w:hyperlink r:id="rId16" w:history="1">
        <w:r w:rsidR="00775AC0" w:rsidRPr="00F56579">
          <w:rPr>
            <w:rStyle w:val="Hyperlink"/>
            <w:rFonts w:asciiTheme="majorHAnsi" w:hAnsiTheme="majorHAnsi" w:cstheme="majorHAnsi"/>
            <w:szCs w:val="20"/>
          </w:rPr>
          <w:t>www.pacificwomen.org</w:t>
        </w:r>
      </w:hyperlink>
    </w:p>
    <w:p w14:paraId="6D4BCAFF" w14:textId="3FEA4347" w:rsidR="0074253B" w:rsidRPr="00F56579" w:rsidRDefault="00951D01" w:rsidP="006978D8">
      <w:pPr>
        <w:pStyle w:val="Heading1"/>
      </w:pPr>
      <w:bookmarkStart w:id="3" w:name="_Toc185938061"/>
      <w:bookmarkStart w:id="4" w:name="_Toc208711160"/>
      <w:bookmarkStart w:id="5" w:name="_Hlk185951278"/>
      <w:bookmarkStart w:id="6" w:name="_Toc121911663"/>
      <w:bookmarkStart w:id="7" w:name="_Toc121917476"/>
      <w:bookmarkStart w:id="8" w:name="_Hlk131508822"/>
      <w:r w:rsidRPr="00F56579">
        <w:t xml:space="preserve">Overview of </w:t>
      </w:r>
      <w:r w:rsidR="00B02590" w:rsidRPr="00F56579">
        <w:t xml:space="preserve">Pacific Women Lead </w:t>
      </w:r>
      <w:r w:rsidR="00181174" w:rsidRPr="00F56579">
        <w:t xml:space="preserve">activities </w:t>
      </w:r>
      <w:r w:rsidR="00B02590" w:rsidRPr="00F56579">
        <w:t xml:space="preserve">in </w:t>
      </w:r>
      <w:bookmarkEnd w:id="3"/>
      <w:r w:rsidR="00551CE3">
        <w:t>Solomon Islands</w:t>
      </w:r>
      <w:bookmarkEnd w:id="4"/>
    </w:p>
    <w:p w14:paraId="35AED702" w14:textId="57A1A119" w:rsidR="00911F67" w:rsidRPr="00F56579" w:rsidRDefault="00C13C89" w:rsidP="006978D8">
      <w:pPr>
        <w:pStyle w:val="BodyText"/>
        <w:spacing w:after="120"/>
        <w:rPr>
          <w:rFonts w:asciiTheme="majorHAnsi" w:hAnsiTheme="majorHAnsi" w:cstheme="majorBidi"/>
        </w:rPr>
      </w:pPr>
      <w:bookmarkStart w:id="9" w:name="_Hlk185947790"/>
      <w:r w:rsidRPr="6643C3DA">
        <w:rPr>
          <w:rFonts w:asciiTheme="majorHAnsi" w:hAnsiTheme="majorHAnsi" w:cstheme="majorBidi"/>
        </w:rPr>
        <w:t xml:space="preserve">As </w:t>
      </w:r>
      <w:r w:rsidR="001E3601" w:rsidRPr="6643C3DA">
        <w:rPr>
          <w:rFonts w:asciiTheme="majorHAnsi" w:hAnsiTheme="majorHAnsi" w:cstheme="majorBidi"/>
        </w:rPr>
        <w:t>of</w:t>
      </w:r>
      <w:r w:rsidRPr="6643C3DA">
        <w:rPr>
          <w:rFonts w:asciiTheme="majorHAnsi" w:hAnsiTheme="majorHAnsi" w:cstheme="majorBidi"/>
        </w:rPr>
        <w:t xml:space="preserve"> </w:t>
      </w:r>
      <w:r w:rsidR="00951D01" w:rsidRPr="6643C3DA">
        <w:rPr>
          <w:rFonts w:asciiTheme="majorHAnsi" w:hAnsiTheme="majorHAnsi" w:cstheme="majorBidi"/>
        </w:rPr>
        <w:t xml:space="preserve">31 </w:t>
      </w:r>
      <w:r w:rsidR="001F0116" w:rsidRPr="6643C3DA">
        <w:rPr>
          <w:rFonts w:asciiTheme="majorHAnsi" w:hAnsiTheme="majorHAnsi" w:cstheme="majorBidi"/>
        </w:rPr>
        <w:t>August</w:t>
      </w:r>
      <w:r w:rsidR="0032104A" w:rsidRPr="6643C3DA">
        <w:rPr>
          <w:rFonts w:asciiTheme="majorHAnsi" w:hAnsiTheme="majorHAnsi" w:cstheme="majorBidi"/>
        </w:rPr>
        <w:t xml:space="preserve"> 2025</w:t>
      </w:r>
      <w:r w:rsidR="00951D01" w:rsidRPr="6643C3DA">
        <w:rPr>
          <w:rFonts w:asciiTheme="majorHAnsi" w:hAnsiTheme="majorHAnsi" w:cstheme="majorBidi"/>
        </w:rPr>
        <w:t>,</w:t>
      </w:r>
      <w:r w:rsidRPr="6643C3DA">
        <w:rPr>
          <w:rFonts w:asciiTheme="majorHAnsi" w:hAnsiTheme="majorHAnsi" w:cstheme="majorBidi"/>
        </w:rPr>
        <w:t xml:space="preserve"> </w:t>
      </w:r>
      <w:r w:rsidR="00393E86" w:rsidRPr="6643C3DA">
        <w:rPr>
          <w:rFonts w:asciiTheme="majorHAnsi" w:hAnsiTheme="majorHAnsi" w:cstheme="majorBidi"/>
        </w:rPr>
        <w:t xml:space="preserve">30 </w:t>
      </w:r>
      <w:r w:rsidRPr="6643C3DA">
        <w:rPr>
          <w:rFonts w:asciiTheme="majorHAnsi" w:hAnsiTheme="majorHAnsi" w:cstheme="majorBidi"/>
        </w:rPr>
        <w:t>Pacific Women Lead</w:t>
      </w:r>
      <w:r w:rsidR="001E6ADC" w:rsidRPr="6643C3DA">
        <w:rPr>
          <w:rFonts w:asciiTheme="majorHAnsi" w:hAnsiTheme="majorHAnsi" w:cstheme="majorBidi"/>
        </w:rPr>
        <w:t xml:space="preserve"> projects </w:t>
      </w:r>
      <w:r w:rsidR="00393E86" w:rsidRPr="6643C3DA">
        <w:rPr>
          <w:rFonts w:asciiTheme="majorHAnsi" w:hAnsiTheme="majorHAnsi" w:cstheme="majorBidi"/>
        </w:rPr>
        <w:t xml:space="preserve">and 3 research </w:t>
      </w:r>
      <w:r w:rsidR="00BF0B77" w:rsidRPr="6643C3DA">
        <w:rPr>
          <w:rFonts w:asciiTheme="majorHAnsi" w:hAnsiTheme="majorHAnsi" w:cstheme="majorBidi"/>
        </w:rPr>
        <w:t xml:space="preserve">were </w:t>
      </w:r>
      <w:r w:rsidR="001E6ADC" w:rsidRPr="6643C3DA">
        <w:rPr>
          <w:rFonts w:asciiTheme="majorHAnsi" w:hAnsiTheme="majorHAnsi" w:cstheme="majorBidi"/>
        </w:rPr>
        <w:t>being</w:t>
      </w:r>
      <w:r w:rsidR="001C3304" w:rsidRPr="6643C3DA">
        <w:rPr>
          <w:rFonts w:asciiTheme="majorHAnsi" w:hAnsiTheme="majorHAnsi" w:cstheme="majorBidi"/>
        </w:rPr>
        <w:t xml:space="preserve"> (or had been)</w:t>
      </w:r>
      <w:r w:rsidR="001E6ADC" w:rsidRPr="6643C3DA">
        <w:rPr>
          <w:rFonts w:asciiTheme="majorHAnsi" w:hAnsiTheme="majorHAnsi" w:cstheme="majorBidi"/>
        </w:rPr>
        <w:t xml:space="preserve"> implemented in </w:t>
      </w:r>
      <w:r w:rsidR="00551CE3" w:rsidRPr="6643C3DA">
        <w:rPr>
          <w:rFonts w:asciiTheme="majorHAnsi" w:hAnsiTheme="majorHAnsi" w:cstheme="majorBidi"/>
        </w:rPr>
        <w:t>Solomon Islands</w:t>
      </w:r>
      <w:r w:rsidR="001E6ADC" w:rsidRPr="6643C3DA">
        <w:rPr>
          <w:rFonts w:asciiTheme="majorHAnsi" w:hAnsiTheme="majorHAnsi" w:cstheme="majorBidi"/>
        </w:rPr>
        <w:t xml:space="preserve">, with a total funding of </w:t>
      </w:r>
      <w:r w:rsidR="00D204BD" w:rsidRPr="00491EEE">
        <w:rPr>
          <w:rFonts w:ascii="Arial" w:hAnsi="Arial" w:cs="Arial"/>
        </w:rPr>
        <w:t>AUD169,575,523.10</w:t>
      </w:r>
      <w:r w:rsidR="00665525" w:rsidRPr="6643C3DA">
        <w:rPr>
          <w:rStyle w:val="FootnoteReference"/>
          <w:rFonts w:asciiTheme="majorHAnsi" w:hAnsiTheme="majorHAnsi" w:cstheme="majorBidi"/>
        </w:rPr>
        <w:footnoteReference w:id="2"/>
      </w:r>
    </w:p>
    <w:p w14:paraId="28801B4E" w14:textId="5717696A" w:rsidR="00BE5EA9" w:rsidRPr="00F56579" w:rsidRDefault="00491E8C" w:rsidP="006978D8">
      <w:pPr>
        <w:pStyle w:val="BodyText"/>
        <w:spacing w:after="360"/>
        <w:rPr>
          <w:rFonts w:asciiTheme="majorHAnsi" w:hAnsiTheme="majorHAnsi" w:cstheme="majorHAnsi"/>
          <w:szCs w:val="20"/>
        </w:rPr>
      </w:pPr>
      <w:r w:rsidRPr="00F56579">
        <w:rPr>
          <w:rFonts w:asciiTheme="majorHAnsi" w:hAnsiTheme="majorHAnsi" w:cstheme="majorHAnsi"/>
          <w:szCs w:val="20"/>
        </w:rPr>
        <w:t>Table 1 shows how each of these projec</w:t>
      </w:r>
      <w:r w:rsidR="00EA05D5" w:rsidRPr="00F56579">
        <w:rPr>
          <w:rFonts w:asciiTheme="majorHAnsi" w:hAnsiTheme="majorHAnsi" w:cstheme="majorHAnsi"/>
          <w:szCs w:val="20"/>
        </w:rPr>
        <w:t>ts are linked to the different PWL portfolio components.</w:t>
      </w:r>
      <w:r w:rsidR="002D5761" w:rsidRPr="00F56579">
        <w:rPr>
          <w:rStyle w:val="FootnoteReference"/>
          <w:rFonts w:asciiTheme="majorHAnsi" w:hAnsiTheme="majorHAnsi" w:cstheme="majorHAnsi"/>
          <w:szCs w:val="20"/>
        </w:rPr>
        <w:footnoteReference w:id="3"/>
      </w:r>
      <w:r w:rsidR="00EA05D5" w:rsidRPr="00F56579">
        <w:rPr>
          <w:rFonts w:asciiTheme="majorHAnsi" w:hAnsiTheme="majorHAnsi" w:cstheme="majorHAnsi"/>
          <w:szCs w:val="20"/>
        </w:rPr>
        <w:t xml:space="preserve"> </w:t>
      </w:r>
      <w:r w:rsidR="00916EBB" w:rsidRPr="00F56579">
        <w:rPr>
          <w:rStyle w:val="normaltextrun"/>
          <w:rFonts w:asciiTheme="majorHAnsi" w:hAnsiTheme="majorHAnsi" w:cstheme="majorHAnsi"/>
          <w:szCs w:val="20"/>
        </w:rPr>
        <w:t>Through these components, technical support and funding is provided to Pacific civil society organisations, multilateral and regional organisations, government and other stakeholders.</w:t>
      </w:r>
      <w:bookmarkStart w:id="10" w:name="_Hlk185768772"/>
      <w:bookmarkEnd w:id="5"/>
      <w:bookmarkEnd w:id="9"/>
    </w:p>
    <w:p w14:paraId="60A16F80" w14:textId="76F27B33" w:rsidR="009602F0" w:rsidRPr="0032104A" w:rsidRDefault="009602F0" w:rsidP="006978D8">
      <w:pPr>
        <w:pStyle w:val="Caption"/>
        <w:rPr>
          <w:rFonts w:ascii="Arial" w:hAnsi="Arial" w:cs="Arial"/>
          <w:sz w:val="20"/>
          <w:szCs w:val="20"/>
        </w:rPr>
      </w:pPr>
      <w:r w:rsidRPr="0032104A">
        <w:rPr>
          <w:rFonts w:ascii="Arial" w:hAnsi="Arial" w:cs="Arial"/>
          <w:sz w:val="20"/>
          <w:szCs w:val="20"/>
        </w:rPr>
        <w:t xml:space="preserve">Table </w:t>
      </w:r>
      <w:r w:rsidRPr="0032104A">
        <w:rPr>
          <w:rFonts w:ascii="Arial" w:hAnsi="Arial" w:cs="Arial"/>
          <w:sz w:val="20"/>
          <w:szCs w:val="20"/>
        </w:rPr>
        <w:fldChar w:fldCharType="begin"/>
      </w:r>
      <w:r w:rsidRPr="0032104A">
        <w:rPr>
          <w:rFonts w:ascii="Arial" w:hAnsi="Arial" w:cs="Arial"/>
          <w:sz w:val="20"/>
          <w:szCs w:val="20"/>
        </w:rPr>
        <w:instrText>SEQ Table \* ARABIC</w:instrText>
      </w:r>
      <w:r w:rsidRPr="0032104A">
        <w:rPr>
          <w:rFonts w:ascii="Arial" w:hAnsi="Arial" w:cs="Arial"/>
          <w:sz w:val="20"/>
          <w:szCs w:val="20"/>
        </w:rPr>
        <w:fldChar w:fldCharType="separate"/>
      </w:r>
      <w:r w:rsidR="00890EE2">
        <w:rPr>
          <w:rFonts w:ascii="Arial" w:hAnsi="Arial" w:cs="Arial"/>
          <w:noProof/>
          <w:sz w:val="20"/>
          <w:szCs w:val="20"/>
        </w:rPr>
        <w:t>1</w:t>
      </w:r>
      <w:r w:rsidRPr="0032104A">
        <w:rPr>
          <w:rFonts w:ascii="Arial" w:hAnsi="Arial" w:cs="Arial"/>
          <w:sz w:val="20"/>
          <w:szCs w:val="20"/>
        </w:rPr>
        <w:fldChar w:fldCharType="end"/>
      </w:r>
      <w:r w:rsidRPr="0032104A">
        <w:rPr>
          <w:rFonts w:ascii="Arial" w:hAnsi="Arial" w:cs="Arial"/>
          <w:sz w:val="20"/>
          <w:szCs w:val="20"/>
        </w:rPr>
        <w:t xml:space="preserve">: Summary of PWL </w:t>
      </w:r>
      <w:r w:rsidR="00B10CF8">
        <w:rPr>
          <w:rFonts w:ascii="Arial" w:hAnsi="Arial" w:cs="Arial"/>
          <w:sz w:val="20"/>
          <w:szCs w:val="20"/>
        </w:rPr>
        <w:t>activities</w:t>
      </w:r>
      <w:r w:rsidR="00B10CF8" w:rsidRPr="0032104A">
        <w:rPr>
          <w:rFonts w:ascii="Arial" w:hAnsi="Arial" w:cs="Arial"/>
          <w:sz w:val="20"/>
          <w:szCs w:val="20"/>
        </w:rPr>
        <w:t xml:space="preserve"> </w:t>
      </w:r>
      <w:r w:rsidRPr="0032104A">
        <w:rPr>
          <w:rFonts w:ascii="Arial" w:hAnsi="Arial" w:cs="Arial"/>
          <w:sz w:val="20"/>
          <w:szCs w:val="20"/>
        </w:rPr>
        <w:t xml:space="preserve">in </w:t>
      </w:r>
      <w:r w:rsidR="00551CE3" w:rsidRPr="0032104A">
        <w:rPr>
          <w:rFonts w:ascii="Arial" w:hAnsi="Arial" w:cs="Arial"/>
          <w:sz w:val="20"/>
          <w:szCs w:val="20"/>
        </w:rPr>
        <w:t>Solomon Islands</w:t>
      </w:r>
      <w:r w:rsidR="00A911F5" w:rsidRPr="0032104A">
        <w:rPr>
          <w:rFonts w:ascii="Arial" w:hAnsi="Arial" w:cs="Arial"/>
          <w:sz w:val="20"/>
          <w:szCs w:val="20"/>
        </w:rPr>
        <w:t xml:space="preserve"> </w:t>
      </w:r>
      <w:r w:rsidRPr="0032104A">
        <w:rPr>
          <w:rFonts w:ascii="Arial" w:hAnsi="Arial" w:cs="Arial"/>
          <w:sz w:val="20"/>
          <w:szCs w:val="20"/>
        </w:rPr>
        <w:t xml:space="preserve">as </w:t>
      </w:r>
      <w:r w:rsidR="005125BA" w:rsidRPr="0032104A">
        <w:rPr>
          <w:rFonts w:ascii="Arial" w:hAnsi="Arial" w:cs="Arial"/>
          <w:sz w:val="20"/>
          <w:szCs w:val="20"/>
        </w:rPr>
        <w:t>of</w:t>
      </w:r>
      <w:r w:rsidRPr="0032104A">
        <w:rPr>
          <w:rFonts w:ascii="Arial" w:hAnsi="Arial" w:cs="Arial"/>
          <w:sz w:val="20"/>
          <w:szCs w:val="20"/>
        </w:rPr>
        <w:t xml:space="preserve"> </w:t>
      </w:r>
      <w:r w:rsidR="00951D01" w:rsidRPr="0032104A">
        <w:rPr>
          <w:rFonts w:ascii="Arial" w:hAnsi="Arial" w:cs="Arial"/>
          <w:sz w:val="20"/>
          <w:szCs w:val="20"/>
        </w:rPr>
        <w:t xml:space="preserve">31 </w:t>
      </w:r>
      <w:r w:rsidR="00E56BDD">
        <w:rPr>
          <w:rFonts w:ascii="Arial" w:hAnsi="Arial" w:cs="Arial"/>
          <w:sz w:val="20"/>
          <w:szCs w:val="20"/>
        </w:rPr>
        <w:t xml:space="preserve">August </w:t>
      </w:r>
      <w:r w:rsidR="0032104A">
        <w:rPr>
          <w:rFonts w:ascii="Arial" w:hAnsi="Arial" w:cs="Arial"/>
          <w:sz w:val="20"/>
          <w:szCs w:val="20"/>
        </w:rPr>
        <w:t>2025</w:t>
      </w:r>
    </w:p>
    <w:tbl>
      <w:tblPr>
        <w:tblStyle w:val="PlainTable2"/>
        <w:tblW w:w="9725" w:type="dxa"/>
        <w:tblInd w:w="-5"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180"/>
        <w:gridCol w:w="1485"/>
        <w:gridCol w:w="1245"/>
        <w:gridCol w:w="1365"/>
        <w:gridCol w:w="2450"/>
      </w:tblGrid>
      <w:tr w:rsidR="009C2DDC" w:rsidRPr="0032104A" w14:paraId="1985E3D7" w14:textId="77777777" w:rsidTr="00491EEE">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dxa"/>
            <w:shd w:val="clear" w:color="auto" w:fill="006699"/>
          </w:tcPr>
          <w:bookmarkEnd w:id="10"/>
          <w:p w14:paraId="55A44265" w14:textId="0B3B1D4A" w:rsidR="005A606E" w:rsidRPr="0032104A" w:rsidRDefault="005A606E" w:rsidP="006978D8">
            <w:pPr>
              <w:pStyle w:val="BodyText"/>
              <w:rPr>
                <w:rFonts w:ascii="Arial" w:hAnsi="Arial" w:cs="Arial"/>
                <w:color w:val="FFFFFF" w:themeColor="background1"/>
                <w:szCs w:val="20"/>
              </w:rPr>
            </w:pPr>
            <w:r w:rsidRPr="0032104A">
              <w:rPr>
                <w:rFonts w:ascii="Arial" w:hAnsi="Arial" w:cs="Arial"/>
                <w:color w:val="FFFFFF" w:themeColor="background1"/>
                <w:szCs w:val="20"/>
              </w:rPr>
              <w:t>PWL components</w:t>
            </w:r>
          </w:p>
        </w:tc>
        <w:tc>
          <w:tcPr>
            <w:tcW w:w="0" w:type="dxa"/>
            <w:shd w:val="clear" w:color="auto" w:fill="006699"/>
          </w:tcPr>
          <w:p w14:paraId="19940C56" w14:textId="56297E8D" w:rsidR="005A606E" w:rsidRPr="0032104A" w:rsidRDefault="005A606E" w:rsidP="006978D8">
            <w:pPr>
              <w:pStyle w:val="BodyTex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Cs w:val="20"/>
              </w:rPr>
            </w:pPr>
            <w:r w:rsidRPr="0032104A">
              <w:rPr>
                <w:rFonts w:ascii="Arial" w:hAnsi="Arial" w:cs="Arial"/>
                <w:color w:val="FFFFFF" w:themeColor="background1"/>
                <w:szCs w:val="20"/>
              </w:rPr>
              <w:t># of projects</w:t>
            </w:r>
          </w:p>
        </w:tc>
        <w:tc>
          <w:tcPr>
            <w:tcW w:w="0" w:type="dxa"/>
            <w:shd w:val="clear" w:color="auto" w:fill="006699"/>
          </w:tcPr>
          <w:p w14:paraId="6B06C83C" w14:textId="28ACE5C6" w:rsidR="005A606E" w:rsidRPr="0032104A" w:rsidRDefault="005A606E" w:rsidP="006978D8">
            <w:pPr>
              <w:pStyle w:val="BodyText"/>
              <w:ind w:right="184"/>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Cs w:val="20"/>
              </w:rPr>
            </w:pPr>
            <w:r w:rsidRPr="0032104A">
              <w:rPr>
                <w:rFonts w:ascii="Arial" w:hAnsi="Arial" w:cs="Arial"/>
                <w:color w:val="FFFFFF" w:themeColor="background1"/>
                <w:szCs w:val="20"/>
              </w:rPr>
              <w:t>Ongoing</w:t>
            </w:r>
          </w:p>
        </w:tc>
        <w:tc>
          <w:tcPr>
            <w:tcW w:w="0" w:type="dxa"/>
            <w:shd w:val="clear" w:color="auto" w:fill="006699"/>
          </w:tcPr>
          <w:p w14:paraId="1B146427" w14:textId="7A070B8A" w:rsidR="005A606E" w:rsidRPr="0032104A" w:rsidRDefault="005A606E" w:rsidP="006978D8">
            <w:pPr>
              <w:pStyle w:val="BodyText"/>
              <w:ind w:right="62"/>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Cs w:val="20"/>
              </w:rPr>
            </w:pPr>
            <w:r w:rsidRPr="0032104A">
              <w:rPr>
                <w:rFonts w:ascii="Arial" w:hAnsi="Arial" w:cs="Arial"/>
                <w:color w:val="FFFFFF" w:themeColor="background1"/>
                <w:szCs w:val="20"/>
              </w:rPr>
              <w:t>Completed</w:t>
            </w:r>
          </w:p>
        </w:tc>
        <w:tc>
          <w:tcPr>
            <w:tcW w:w="0" w:type="dxa"/>
            <w:shd w:val="clear" w:color="auto" w:fill="006699"/>
          </w:tcPr>
          <w:p w14:paraId="5FAA0B71" w14:textId="65C6EA38" w:rsidR="005A606E" w:rsidRPr="0032104A" w:rsidRDefault="005A606E" w:rsidP="006978D8">
            <w:pPr>
              <w:pStyle w:val="BodyText"/>
              <w:ind w:right="184"/>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Cs w:val="20"/>
              </w:rPr>
            </w:pPr>
            <w:r w:rsidRPr="0032104A">
              <w:rPr>
                <w:rFonts w:ascii="Arial" w:hAnsi="Arial" w:cs="Arial"/>
                <w:color w:val="FFFFFF" w:themeColor="background1"/>
                <w:szCs w:val="20"/>
              </w:rPr>
              <w:t>Total funding (AUD)</w:t>
            </w:r>
          </w:p>
        </w:tc>
      </w:tr>
      <w:tr w:rsidR="00046B8D" w:rsidRPr="0032104A" w14:paraId="40D30879" w14:textId="77777777" w:rsidTr="00046B8D">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80" w:type="dxa"/>
          </w:tcPr>
          <w:p w14:paraId="40827743" w14:textId="217EEAD3" w:rsidR="005A606E" w:rsidRPr="009C2DDC" w:rsidRDefault="00CF46A1" w:rsidP="006978D8">
            <w:pPr>
              <w:pStyle w:val="BodyText"/>
              <w:rPr>
                <w:rFonts w:ascii="Arial" w:hAnsi="Arial" w:cs="Arial"/>
                <w:szCs w:val="20"/>
              </w:rPr>
            </w:pPr>
            <w:r w:rsidRPr="009C2DDC">
              <w:rPr>
                <w:rFonts w:ascii="Arial" w:hAnsi="Arial" w:cs="Arial"/>
                <w:szCs w:val="20"/>
              </w:rPr>
              <w:t>The Pacific Community (SPC)</w:t>
            </w:r>
            <w:r w:rsidR="005A606E" w:rsidRPr="009C2DDC">
              <w:rPr>
                <w:rFonts w:ascii="Arial" w:hAnsi="Arial" w:cs="Arial"/>
                <w:szCs w:val="20"/>
              </w:rPr>
              <w:t xml:space="preserve"> </w:t>
            </w:r>
            <w:r w:rsidR="005F43FB">
              <w:rPr>
                <w:rFonts w:ascii="Arial" w:hAnsi="Arial" w:cs="Arial"/>
                <w:szCs w:val="20"/>
              </w:rPr>
              <w:t>grants</w:t>
            </w:r>
          </w:p>
        </w:tc>
        <w:tc>
          <w:tcPr>
            <w:tcW w:w="1485" w:type="dxa"/>
          </w:tcPr>
          <w:p w14:paraId="68261C1B" w14:textId="53568A4B" w:rsidR="005A606E" w:rsidRPr="009C2DDC" w:rsidRDefault="00CF46A1" w:rsidP="006978D8">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C2DDC">
              <w:rPr>
                <w:rFonts w:ascii="Arial" w:hAnsi="Arial" w:cs="Arial"/>
                <w:szCs w:val="20"/>
              </w:rPr>
              <w:t>9</w:t>
            </w:r>
          </w:p>
        </w:tc>
        <w:tc>
          <w:tcPr>
            <w:tcW w:w="1245" w:type="dxa"/>
            <w:shd w:val="clear" w:color="auto" w:fill="E7E6E6" w:themeFill="background2"/>
          </w:tcPr>
          <w:p w14:paraId="26F217A4" w14:textId="69BDEBA0" w:rsidR="005A606E" w:rsidRPr="009C2DDC" w:rsidRDefault="004A0C06" w:rsidP="006978D8">
            <w:pPr>
              <w:pStyle w:val="BodyText"/>
              <w:ind w:right="468"/>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4A0C06">
              <w:rPr>
                <w:rFonts w:ascii="Arial" w:hAnsi="Arial" w:cs="Arial"/>
                <w:szCs w:val="20"/>
              </w:rPr>
              <w:t>9</w:t>
            </w:r>
          </w:p>
        </w:tc>
        <w:tc>
          <w:tcPr>
            <w:tcW w:w="1365" w:type="dxa"/>
            <w:shd w:val="clear" w:color="auto" w:fill="E7E6E6" w:themeFill="background2"/>
          </w:tcPr>
          <w:p w14:paraId="54A64F0E" w14:textId="4971C58F" w:rsidR="005A606E" w:rsidRPr="009C2DDC" w:rsidRDefault="00583399" w:rsidP="006978D8">
            <w:pPr>
              <w:pStyle w:val="BodyText"/>
              <w:ind w:right="62"/>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C2DDC">
              <w:rPr>
                <w:rFonts w:ascii="Arial" w:hAnsi="Arial" w:cs="Arial"/>
                <w:szCs w:val="20"/>
              </w:rPr>
              <w:t>0</w:t>
            </w:r>
          </w:p>
        </w:tc>
        <w:tc>
          <w:tcPr>
            <w:tcW w:w="2450" w:type="dxa"/>
          </w:tcPr>
          <w:p w14:paraId="19111EB0" w14:textId="5A699FF3" w:rsidR="005A606E" w:rsidRPr="009C2DDC" w:rsidRDefault="000606DF" w:rsidP="006978D8">
            <w:pPr>
              <w:pStyle w:val="BodyText"/>
              <w:ind w:right="468"/>
              <w:cnfStyle w:val="000000100000" w:firstRow="0" w:lastRow="0" w:firstColumn="0" w:lastColumn="0" w:oddVBand="0" w:evenVBand="0" w:oddHBand="1" w:evenHBand="0" w:firstRowFirstColumn="0" w:firstRowLastColumn="0" w:lastRowFirstColumn="0" w:lastRowLastColumn="0"/>
              <w:rPr>
                <w:rFonts w:ascii="Arial" w:hAnsi="Arial" w:cs="Arial"/>
              </w:rPr>
            </w:pPr>
            <w:r w:rsidRPr="000606DF">
              <w:rPr>
                <w:rFonts w:ascii="Arial" w:hAnsi="Arial" w:cs="Arial"/>
              </w:rPr>
              <w:t>$4,243,305.00</w:t>
            </w:r>
          </w:p>
        </w:tc>
      </w:tr>
      <w:tr w:rsidR="00046B8D" w:rsidRPr="0032104A" w14:paraId="757A6D25" w14:textId="77777777" w:rsidTr="00046B8D">
        <w:trPr>
          <w:trHeight w:val="405"/>
        </w:trPr>
        <w:tc>
          <w:tcPr>
            <w:cnfStyle w:val="001000000000" w:firstRow="0" w:lastRow="0" w:firstColumn="1" w:lastColumn="0" w:oddVBand="0" w:evenVBand="0" w:oddHBand="0" w:evenHBand="0" w:firstRowFirstColumn="0" w:firstRowLastColumn="0" w:lastRowFirstColumn="0" w:lastRowLastColumn="0"/>
            <w:tcW w:w="3180" w:type="dxa"/>
          </w:tcPr>
          <w:p w14:paraId="7AF8EF2F" w14:textId="6265D240" w:rsidR="005A606E" w:rsidRPr="005C6F40" w:rsidRDefault="005A606E" w:rsidP="006978D8">
            <w:pPr>
              <w:pStyle w:val="BodyText"/>
              <w:rPr>
                <w:rFonts w:ascii="Arial" w:hAnsi="Arial" w:cs="Arial"/>
                <w:szCs w:val="20"/>
              </w:rPr>
            </w:pPr>
            <w:r w:rsidRPr="005C6F40">
              <w:rPr>
                <w:rFonts w:ascii="Arial" w:hAnsi="Arial" w:cs="Arial"/>
                <w:szCs w:val="20"/>
              </w:rPr>
              <w:t xml:space="preserve">PWL Governance Board </w:t>
            </w:r>
            <w:r w:rsidR="00FA4385" w:rsidRPr="009C2DDC">
              <w:rPr>
                <w:rFonts w:ascii="Arial" w:hAnsi="Arial" w:cs="Arial"/>
                <w:szCs w:val="20"/>
              </w:rPr>
              <w:t>grants</w:t>
            </w:r>
          </w:p>
        </w:tc>
        <w:tc>
          <w:tcPr>
            <w:tcW w:w="1485" w:type="dxa"/>
          </w:tcPr>
          <w:p w14:paraId="3AFCC720" w14:textId="7BB6A71D" w:rsidR="005A606E" w:rsidRPr="005C6F40" w:rsidRDefault="001D6560" w:rsidP="006978D8">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9C2DDC">
              <w:rPr>
                <w:rFonts w:ascii="Arial" w:hAnsi="Arial" w:cs="Arial"/>
                <w:szCs w:val="20"/>
              </w:rPr>
              <w:t>1</w:t>
            </w:r>
          </w:p>
        </w:tc>
        <w:tc>
          <w:tcPr>
            <w:tcW w:w="1245" w:type="dxa"/>
            <w:shd w:val="clear" w:color="auto" w:fill="E7E6E6" w:themeFill="background2"/>
          </w:tcPr>
          <w:p w14:paraId="6105BE72" w14:textId="3E078638" w:rsidR="005A606E" w:rsidRPr="005C6F40" w:rsidRDefault="001D6560" w:rsidP="006978D8">
            <w:pPr>
              <w:pStyle w:val="BodyText"/>
              <w:ind w:right="468"/>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9C2DDC">
              <w:rPr>
                <w:rFonts w:ascii="Arial" w:hAnsi="Arial" w:cs="Arial"/>
                <w:szCs w:val="20"/>
              </w:rPr>
              <w:t>1</w:t>
            </w:r>
          </w:p>
        </w:tc>
        <w:tc>
          <w:tcPr>
            <w:tcW w:w="1365" w:type="dxa"/>
            <w:shd w:val="clear" w:color="auto" w:fill="E7E6E6" w:themeFill="background2"/>
          </w:tcPr>
          <w:p w14:paraId="03DAEBDA" w14:textId="4F1FF5AD" w:rsidR="005A606E" w:rsidRPr="005C6F40" w:rsidRDefault="00E43D11" w:rsidP="006978D8">
            <w:pPr>
              <w:pStyle w:val="BodyText"/>
              <w:ind w:right="62"/>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C6F40">
              <w:rPr>
                <w:rFonts w:ascii="Arial" w:hAnsi="Arial" w:cs="Arial"/>
                <w:szCs w:val="20"/>
              </w:rPr>
              <w:t>-</w:t>
            </w:r>
          </w:p>
        </w:tc>
        <w:tc>
          <w:tcPr>
            <w:tcW w:w="2450" w:type="dxa"/>
          </w:tcPr>
          <w:p w14:paraId="0E6FE394" w14:textId="29E64DB1" w:rsidR="005A606E" w:rsidRPr="005C6F40" w:rsidRDefault="00FA4385" w:rsidP="006978D8">
            <w:pPr>
              <w:pStyle w:val="BodyText"/>
              <w:ind w:right="468"/>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5C6F40">
              <w:rPr>
                <w:rFonts w:asciiTheme="majorHAnsi" w:hAnsiTheme="majorHAnsi" w:cstheme="majorHAnsi"/>
              </w:rPr>
              <w:t>$798,750</w:t>
            </w:r>
          </w:p>
        </w:tc>
      </w:tr>
      <w:tr w:rsidR="00046B8D" w:rsidRPr="0032104A" w14:paraId="610B4D06" w14:textId="77777777" w:rsidTr="00046B8D">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180" w:type="dxa"/>
          </w:tcPr>
          <w:p w14:paraId="74BA101C" w14:textId="6630047C" w:rsidR="005A606E" w:rsidRPr="005C6F40" w:rsidRDefault="005A606E" w:rsidP="006978D8">
            <w:pPr>
              <w:pStyle w:val="BodyText"/>
              <w:rPr>
                <w:rFonts w:ascii="Arial" w:hAnsi="Arial" w:cs="Arial"/>
                <w:szCs w:val="20"/>
              </w:rPr>
            </w:pPr>
            <w:r w:rsidRPr="005C6F40">
              <w:rPr>
                <w:rFonts w:ascii="Arial" w:hAnsi="Arial" w:cs="Arial"/>
                <w:szCs w:val="20"/>
              </w:rPr>
              <w:t xml:space="preserve">Pacific Women’s Funds </w:t>
            </w:r>
            <w:r w:rsidR="005C6F40" w:rsidRPr="009C2DDC">
              <w:rPr>
                <w:rFonts w:ascii="Arial" w:hAnsi="Arial" w:cs="Arial"/>
                <w:szCs w:val="20"/>
              </w:rPr>
              <w:t>grants</w:t>
            </w:r>
          </w:p>
        </w:tc>
        <w:tc>
          <w:tcPr>
            <w:tcW w:w="1485" w:type="dxa"/>
          </w:tcPr>
          <w:p w14:paraId="21090320" w14:textId="36662AF6" w:rsidR="005A606E" w:rsidRPr="005C6F40" w:rsidRDefault="00785FA6" w:rsidP="006978D8">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5C6F40">
              <w:rPr>
                <w:rFonts w:ascii="Arial" w:hAnsi="Arial" w:cs="Arial"/>
                <w:szCs w:val="20"/>
              </w:rPr>
              <w:t>-</w:t>
            </w:r>
          </w:p>
        </w:tc>
        <w:tc>
          <w:tcPr>
            <w:tcW w:w="1245" w:type="dxa"/>
            <w:shd w:val="clear" w:color="auto" w:fill="E7E6E6" w:themeFill="background2"/>
          </w:tcPr>
          <w:p w14:paraId="6BF6904D" w14:textId="346AE95F" w:rsidR="005A606E" w:rsidRPr="005C6F40" w:rsidRDefault="00E43D11" w:rsidP="006978D8">
            <w:pPr>
              <w:pStyle w:val="BodyText"/>
              <w:ind w:right="468"/>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5C6F40">
              <w:rPr>
                <w:rFonts w:ascii="Arial" w:hAnsi="Arial" w:cs="Arial"/>
                <w:szCs w:val="20"/>
              </w:rPr>
              <w:t>-</w:t>
            </w:r>
          </w:p>
        </w:tc>
        <w:tc>
          <w:tcPr>
            <w:tcW w:w="1365" w:type="dxa"/>
            <w:shd w:val="clear" w:color="auto" w:fill="E7E6E6" w:themeFill="background2"/>
          </w:tcPr>
          <w:p w14:paraId="07698C0E" w14:textId="3C480F5D" w:rsidR="005A606E" w:rsidRPr="005C6F40" w:rsidRDefault="00E43D11" w:rsidP="006978D8">
            <w:pPr>
              <w:pStyle w:val="BodyText"/>
              <w:ind w:right="62"/>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5C6F40">
              <w:rPr>
                <w:rFonts w:ascii="Arial" w:hAnsi="Arial" w:cs="Arial"/>
                <w:szCs w:val="20"/>
              </w:rPr>
              <w:t>-</w:t>
            </w:r>
          </w:p>
        </w:tc>
        <w:tc>
          <w:tcPr>
            <w:tcW w:w="2450" w:type="dxa"/>
          </w:tcPr>
          <w:p w14:paraId="71C9AD53" w14:textId="38A4053B" w:rsidR="005A606E" w:rsidRPr="005C6F40" w:rsidRDefault="005A606E" w:rsidP="006978D8">
            <w:pPr>
              <w:pStyle w:val="BodyText"/>
              <w:ind w:right="468"/>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5C6F40">
              <w:rPr>
                <w:rFonts w:ascii="Arial" w:hAnsi="Arial" w:cs="Arial"/>
                <w:szCs w:val="20"/>
              </w:rPr>
              <w:t>-</w:t>
            </w:r>
          </w:p>
        </w:tc>
      </w:tr>
      <w:tr w:rsidR="00046B8D" w:rsidRPr="0032104A" w14:paraId="0AB80826" w14:textId="77777777" w:rsidTr="00046B8D">
        <w:trPr>
          <w:trHeight w:val="405"/>
        </w:trPr>
        <w:tc>
          <w:tcPr>
            <w:cnfStyle w:val="001000000000" w:firstRow="0" w:lastRow="0" w:firstColumn="1" w:lastColumn="0" w:oddVBand="0" w:evenVBand="0" w:oddHBand="0" w:evenHBand="0" w:firstRowFirstColumn="0" w:firstRowLastColumn="0" w:lastRowFirstColumn="0" w:lastRowLastColumn="0"/>
            <w:tcW w:w="3180" w:type="dxa"/>
          </w:tcPr>
          <w:p w14:paraId="0996D366" w14:textId="175CE04C" w:rsidR="005A606E" w:rsidRPr="00062A79" w:rsidRDefault="005A606E" w:rsidP="006978D8">
            <w:pPr>
              <w:pStyle w:val="BodyText"/>
              <w:rPr>
                <w:rFonts w:ascii="Arial" w:hAnsi="Arial" w:cs="Arial"/>
                <w:szCs w:val="20"/>
              </w:rPr>
            </w:pPr>
            <w:r w:rsidRPr="00062A79">
              <w:rPr>
                <w:rFonts w:ascii="Arial" w:hAnsi="Arial" w:cs="Arial"/>
                <w:szCs w:val="20"/>
              </w:rPr>
              <w:t xml:space="preserve">DFAT </w:t>
            </w:r>
            <w:r w:rsidR="00703CEC" w:rsidRPr="00062A79">
              <w:rPr>
                <w:rFonts w:ascii="Arial" w:hAnsi="Arial" w:cs="Arial"/>
                <w:szCs w:val="20"/>
              </w:rPr>
              <w:t>r</w:t>
            </w:r>
            <w:r w:rsidRPr="00062A79">
              <w:rPr>
                <w:rFonts w:ascii="Arial" w:hAnsi="Arial" w:cs="Arial"/>
                <w:szCs w:val="20"/>
              </w:rPr>
              <w:t xml:space="preserve">egional </w:t>
            </w:r>
            <w:r w:rsidR="003E55A9" w:rsidRPr="009C2DDC">
              <w:rPr>
                <w:rFonts w:ascii="Arial" w:hAnsi="Arial" w:cs="Arial"/>
                <w:szCs w:val="20"/>
              </w:rPr>
              <w:t>grants</w:t>
            </w:r>
          </w:p>
        </w:tc>
        <w:tc>
          <w:tcPr>
            <w:tcW w:w="1485" w:type="dxa"/>
          </w:tcPr>
          <w:p w14:paraId="7A3898F6" w14:textId="29A39BF0" w:rsidR="005A606E" w:rsidRPr="00062A79" w:rsidRDefault="00062A79" w:rsidP="006978D8">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Pr>
                <w:rFonts w:ascii="Arial" w:hAnsi="Arial" w:cs="Arial"/>
                <w:szCs w:val="20"/>
              </w:rPr>
              <w:t>1</w:t>
            </w:r>
            <w:r w:rsidR="00101D8B">
              <w:rPr>
                <w:rFonts w:ascii="Arial" w:hAnsi="Arial" w:cs="Arial"/>
                <w:szCs w:val="20"/>
              </w:rPr>
              <w:t>5</w:t>
            </w:r>
          </w:p>
        </w:tc>
        <w:tc>
          <w:tcPr>
            <w:tcW w:w="1245" w:type="dxa"/>
            <w:shd w:val="clear" w:color="auto" w:fill="E7E6E6" w:themeFill="background2"/>
          </w:tcPr>
          <w:p w14:paraId="37ABBF94" w14:textId="4123474D" w:rsidR="005A606E" w:rsidRPr="00062A79" w:rsidRDefault="00694A58" w:rsidP="006978D8">
            <w:pPr>
              <w:pStyle w:val="BodyText"/>
              <w:ind w:right="468"/>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Pr>
                <w:rFonts w:ascii="Arial" w:hAnsi="Arial" w:cs="Arial"/>
                <w:szCs w:val="20"/>
              </w:rPr>
              <w:t>13</w:t>
            </w:r>
          </w:p>
        </w:tc>
        <w:tc>
          <w:tcPr>
            <w:tcW w:w="1365" w:type="dxa"/>
            <w:shd w:val="clear" w:color="auto" w:fill="E7E6E6" w:themeFill="background2"/>
          </w:tcPr>
          <w:p w14:paraId="3BFC5545" w14:textId="78389FEF" w:rsidR="005A606E" w:rsidRPr="00062A79" w:rsidRDefault="00DA159E" w:rsidP="006978D8">
            <w:pPr>
              <w:pStyle w:val="BodyText"/>
              <w:ind w:right="62"/>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Pr>
                <w:rFonts w:ascii="Arial" w:hAnsi="Arial" w:cs="Arial"/>
                <w:szCs w:val="20"/>
              </w:rPr>
              <w:t>2</w:t>
            </w:r>
          </w:p>
        </w:tc>
        <w:tc>
          <w:tcPr>
            <w:tcW w:w="2450" w:type="dxa"/>
          </w:tcPr>
          <w:p w14:paraId="68511C50" w14:textId="1BFB14B2" w:rsidR="005A606E" w:rsidRPr="009C2DDC" w:rsidRDefault="00914242" w:rsidP="006978D8">
            <w:pPr>
              <w:pStyle w:val="BodyText"/>
              <w:ind w:right="468"/>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914242">
              <w:rPr>
                <w:rFonts w:ascii="Arial" w:hAnsi="Arial" w:cs="Arial"/>
              </w:rPr>
              <w:t>134</w:t>
            </w:r>
            <w:r>
              <w:rPr>
                <w:rFonts w:ascii="Arial" w:hAnsi="Arial" w:cs="Arial"/>
              </w:rPr>
              <w:t>,</w:t>
            </w:r>
            <w:r w:rsidRPr="00914242">
              <w:rPr>
                <w:rFonts w:ascii="Arial" w:hAnsi="Arial" w:cs="Arial"/>
              </w:rPr>
              <w:t>806</w:t>
            </w:r>
            <w:r>
              <w:rPr>
                <w:rFonts w:ascii="Arial" w:hAnsi="Arial" w:cs="Arial"/>
              </w:rPr>
              <w:t>,</w:t>
            </w:r>
            <w:r w:rsidRPr="00914242">
              <w:rPr>
                <w:rFonts w:ascii="Arial" w:hAnsi="Arial" w:cs="Arial"/>
              </w:rPr>
              <w:t>621.1</w:t>
            </w:r>
          </w:p>
        </w:tc>
      </w:tr>
      <w:tr w:rsidR="00046B8D" w:rsidRPr="0032104A" w14:paraId="1B835211" w14:textId="77777777" w:rsidTr="00046B8D">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180" w:type="dxa"/>
          </w:tcPr>
          <w:p w14:paraId="300E9360" w14:textId="5AA5C1B6" w:rsidR="00815E98" w:rsidRPr="009C2DDC" w:rsidRDefault="00815E98" w:rsidP="006978D8">
            <w:pPr>
              <w:pStyle w:val="BodyText"/>
              <w:rPr>
                <w:rFonts w:ascii="Arial" w:hAnsi="Arial" w:cs="Arial"/>
                <w:szCs w:val="20"/>
              </w:rPr>
            </w:pPr>
            <w:r w:rsidRPr="009C2DDC">
              <w:rPr>
                <w:rFonts w:ascii="Arial" w:hAnsi="Arial" w:cs="Arial"/>
                <w:szCs w:val="20"/>
              </w:rPr>
              <w:t xml:space="preserve">DFAT regional research </w:t>
            </w:r>
            <w:r w:rsidR="00CF46A1" w:rsidRPr="009C2DDC">
              <w:rPr>
                <w:rFonts w:ascii="Arial" w:hAnsi="Arial" w:cs="Arial"/>
                <w:szCs w:val="20"/>
              </w:rPr>
              <w:t>grants</w:t>
            </w:r>
          </w:p>
        </w:tc>
        <w:tc>
          <w:tcPr>
            <w:tcW w:w="1485" w:type="dxa"/>
          </w:tcPr>
          <w:p w14:paraId="3A38916F" w14:textId="0F5E0A08" w:rsidR="00815E98" w:rsidRPr="009C2DDC" w:rsidRDefault="00694A58" w:rsidP="006978D8">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C2DDC">
              <w:rPr>
                <w:rFonts w:ascii="Arial" w:hAnsi="Arial" w:cs="Arial"/>
                <w:szCs w:val="20"/>
              </w:rPr>
              <w:t>3</w:t>
            </w:r>
          </w:p>
        </w:tc>
        <w:tc>
          <w:tcPr>
            <w:tcW w:w="1245" w:type="dxa"/>
            <w:shd w:val="clear" w:color="auto" w:fill="E7E6E6" w:themeFill="background2"/>
          </w:tcPr>
          <w:p w14:paraId="273014B6" w14:textId="7D5A763D" w:rsidR="00815E98" w:rsidRPr="009C2DDC" w:rsidRDefault="00E22952" w:rsidP="006978D8">
            <w:pPr>
              <w:pStyle w:val="BodyText"/>
              <w:ind w:right="468"/>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C2DDC">
              <w:rPr>
                <w:rFonts w:ascii="Arial" w:hAnsi="Arial" w:cs="Arial"/>
                <w:szCs w:val="20"/>
              </w:rPr>
              <w:t>-</w:t>
            </w:r>
          </w:p>
        </w:tc>
        <w:tc>
          <w:tcPr>
            <w:tcW w:w="1365" w:type="dxa"/>
            <w:shd w:val="clear" w:color="auto" w:fill="E7E6E6" w:themeFill="background2"/>
          </w:tcPr>
          <w:p w14:paraId="7A97453B" w14:textId="34BD2B22" w:rsidR="00815E98" w:rsidRPr="009C2DDC" w:rsidRDefault="00E22952" w:rsidP="006978D8">
            <w:pPr>
              <w:pStyle w:val="BodyText"/>
              <w:ind w:right="62"/>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9C2DDC">
              <w:rPr>
                <w:rFonts w:ascii="Arial" w:hAnsi="Arial" w:cs="Arial"/>
                <w:szCs w:val="20"/>
              </w:rPr>
              <w:t>0</w:t>
            </w:r>
          </w:p>
        </w:tc>
        <w:tc>
          <w:tcPr>
            <w:tcW w:w="2450" w:type="dxa"/>
          </w:tcPr>
          <w:p w14:paraId="1847F4B4" w14:textId="4324EE9F" w:rsidR="00815E98" w:rsidRPr="009C2DDC" w:rsidRDefault="00D556D9" w:rsidP="006978D8">
            <w:pPr>
              <w:pStyle w:val="BodyText"/>
              <w:ind w:right="468"/>
              <w:cnfStyle w:val="000000100000" w:firstRow="0" w:lastRow="0" w:firstColumn="0" w:lastColumn="0" w:oddVBand="0" w:evenVBand="0" w:oddHBand="1" w:evenHBand="0" w:firstRowFirstColumn="0" w:firstRowLastColumn="0" w:lastRowFirstColumn="0" w:lastRowLastColumn="0"/>
              <w:rPr>
                <w:rFonts w:ascii="Arial" w:hAnsi="Arial" w:cs="Arial"/>
              </w:rPr>
            </w:pPr>
            <w:r w:rsidRPr="00D556D9">
              <w:rPr>
                <w:rFonts w:ascii="Arial" w:hAnsi="Arial" w:cs="Arial"/>
              </w:rPr>
              <w:t>$9,039,421</w:t>
            </w:r>
          </w:p>
        </w:tc>
      </w:tr>
      <w:tr w:rsidR="00046B8D" w:rsidRPr="0032104A" w14:paraId="32148245" w14:textId="77777777" w:rsidTr="00046B8D">
        <w:trPr>
          <w:trHeight w:val="392"/>
        </w:trPr>
        <w:tc>
          <w:tcPr>
            <w:cnfStyle w:val="001000000000" w:firstRow="0" w:lastRow="0" w:firstColumn="1" w:lastColumn="0" w:oddVBand="0" w:evenVBand="0" w:oddHBand="0" w:evenHBand="0" w:firstRowFirstColumn="0" w:firstRowLastColumn="0" w:lastRowFirstColumn="0" w:lastRowLastColumn="0"/>
            <w:tcW w:w="3180" w:type="dxa"/>
          </w:tcPr>
          <w:p w14:paraId="511D6089" w14:textId="1E69D2C3" w:rsidR="005A606E" w:rsidRPr="00624BE4" w:rsidRDefault="005A606E" w:rsidP="006978D8">
            <w:pPr>
              <w:pStyle w:val="BodyText"/>
              <w:rPr>
                <w:rFonts w:ascii="Arial" w:hAnsi="Arial" w:cs="Arial"/>
                <w:szCs w:val="20"/>
              </w:rPr>
            </w:pPr>
            <w:r w:rsidRPr="00624BE4">
              <w:rPr>
                <w:rFonts w:ascii="Arial" w:hAnsi="Arial" w:cs="Arial"/>
                <w:szCs w:val="20"/>
              </w:rPr>
              <w:t xml:space="preserve">DFAT </w:t>
            </w:r>
            <w:r w:rsidR="00703CEC" w:rsidRPr="00624BE4">
              <w:rPr>
                <w:rFonts w:ascii="Arial" w:hAnsi="Arial" w:cs="Arial"/>
                <w:szCs w:val="20"/>
              </w:rPr>
              <w:t xml:space="preserve">bilateral </w:t>
            </w:r>
            <w:r w:rsidR="00D36DB3">
              <w:rPr>
                <w:rFonts w:ascii="Arial" w:hAnsi="Arial" w:cs="Arial"/>
                <w:szCs w:val="20"/>
              </w:rPr>
              <w:t>grants</w:t>
            </w:r>
            <w:r w:rsidR="00D36DB3" w:rsidRPr="00624BE4">
              <w:rPr>
                <w:rFonts w:ascii="Arial" w:hAnsi="Arial" w:cs="Arial"/>
                <w:szCs w:val="20"/>
              </w:rPr>
              <w:t xml:space="preserve"> </w:t>
            </w:r>
          </w:p>
        </w:tc>
        <w:tc>
          <w:tcPr>
            <w:tcW w:w="1485" w:type="dxa"/>
          </w:tcPr>
          <w:p w14:paraId="6F0D5397" w14:textId="69397695" w:rsidR="005A606E" w:rsidRPr="00624BE4" w:rsidRDefault="00785FA6" w:rsidP="006978D8">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24BE4">
              <w:rPr>
                <w:rFonts w:ascii="Arial" w:hAnsi="Arial" w:cs="Arial"/>
                <w:szCs w:val="20"/>
              </w:rPr>
              <w:t>10</w:t>
            </w:r>
          </w:p>
        </w:tc>
        <w:tc>
          <w:tcPr>
            <w:tcW w:w="1245" w:type="dxa"/>
            <w:shd w:val="clear" w:color="auto" w:fill="E7E6E6" w:themeFill="background2"/>
          </w:tcPr>
          <w:p w14:paraId="5570DB9D" w14:textId="1AC44860" w:rsidR="005A606E" w:rsidRPr="00624BE4" w:rsidRDefault="00785FA6" w:rsidP="006978D8">
            <w:pPr>
              <w:pStyle w:val="BodyText"/>
              <w:ind w:right="468"/>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24BE4">
              <w:rPr>
                <w:rFonts w:ascii="Arial" w:hAnsi="Arial" w:cs="Arial"/>
                <w:szCs w:val="20"/>
              </w:rPr>
              <w:t>3</w:t>
            </w:r>
          </w:p>
        </w:tc>
        <w:tc>
          <w:tcPr>
            <w:tcW w:w="1365" w:type="dxa"/>
            <w:shd w:val="clear" w:color="auto" w:fill="E7E6E6" w:themeFill="background2"/>
          </w:tcPr>
          <w:p w14:paraId="2FE05383" w14:textId="42C1377D" w:rsidR="005A606E" w:rsidRPr="00624BE4" w:rsidRDefault="00785FA6" w:rsidP="006978D8">
            <w:pPr>
              <w:pStyle w:val="BodyText"/>
              <w:ind w:right="62"/>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24BE4">
              <w:rPr>
                <w:rFonts w:ascii="Arial" w:hAnsi="Arial" w:cs="Arial"/>
                <w:szCs w:val="20"/>
              </w:rPr>
              <w:t>7</w:t>
            </w:r>
          </w:p>
        </w:tc>
        <w:tc>
          <w:tcPr>
            <w:tcW w:w="2450" w:type="dxa"/>
          </w:tcPr>
          <w:p w14:paraId="6D4CB04E" w14:textId="3947610F" w:rsidR="005A606E" w:rsidRPr="00624BE4" w:rsidRDefault="00EE363B" w:rsidP="006978D8">
            <w:pPr>
              <w:pStyle w:val="BodyText"/>
              <w:ind w:right="468"/>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r w:rsidR="009A5200" w:rsidRPr="009A5200">
              <w:rPr>
                <w:rFonts w:ascii="Arial" w:hAnsi="Arial" w:cs="Arial"/>
              </w:rPr>
              <w:t>20</w:t>
            </w:r>
            <w:r>
              <w:rPr>
                <w:rFonts w:ascii="Arial" w:hAnsi="Arial" w:cs="Arial"/>
              </w:rPr>
              <w:t>,</w:t>
            </w:r>
            <w:r w:rsidR="009A5200" w:rsidRPr="009A5200">
              <w:rPr>
                <w:rFonts w:ascii="Arial" w:hAnsi="Arial" w:cs="Arial"/>
              </w:rPr>
              <w:t>687</w:t>
            </w:r>
            <w:r>
              <w:rPr>
                <w:rFonts w:ascii="Arial" w:hAnsi="Arial" w:cs="Arial"/>
              </w:rPr>
              <w:t>,</w:t>
            </w:r>
            <w:r w:rsidR="009A5200" w:rsidRPr="009A5200">
              <w:rPr>
                <w:rFonts w:ascii="Arial" w:hAnsi="Arial" w:cs="Arial"/>
              </w:rPr>
              <w:t>426</w:t>
            </w:r>
          </w:p>
        </w:tc>
      </w:tr>
      <w:tr w:rsidR="00046B8D" w:rsidRPr="0032104A" w14:paraId="237B547E" w14:textId="77777777" w:rsidTr="00046B8D">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180" w:type="dxa"/>
          </w:tcPr>
          <w:p w14:paraId="57D65420" w14:textId="6EAE2175" w:rsidR="005A606E" w:rsidRPr="00EE363B" w:rsidRDefault="005A606E" w:rsidP="006978D8">
            <w:pPr>
              <w:pStyle w:val="BodyText"/>
              <w:rPr>
                <w:rFonts w:ascii="Arial" w:hAnsi="Arial" w:cs="Arial"/>
                <w:szCs w:val="20"/>
              </w:rPr>
            </w:pPr>
            <w:r w:rsidRPr="00EE363B">
              <w:rPr>
                <w:rFonts w:ascii="Arial" w:hAnsi="Arial" w:cs="Arial"/>
                <w:szCs w:val="20"/>
              </w:rPr>
              <w:t xml:space="preserve">PWLES </w:t>
            </w:r>
            <w:r w:rsidR="00D36DB3">
              <w:rPr>
                <w:rFonts w:ascii="Arial" w:hAnsi="Arial" w:cs="Arial"/>
                <w:szCs w:val="20"/>
              </w:rPr>
              <w:t>grants</w:t>
            </w:r>
            <w:r w:rsidR="00D36DB3" w:rsidRPr="00EE363B">
              <w:rPr>
                <w:rFonts w:ascii="Arial" w:hAnsi="Arial" w:cs="Arial"/>
                <w:szCs w:val="20"/>
              </w:rPr>
              <w:t xml:space="preserve"> </w:t>
            </w:r>
          </w:p>
        </w:tc>
        <w:tc>
          <w:tcPr>
            <w:tcW w:w="1485" w:type="dxa"/>
          </w:tcPr>
          <w:p w14:paraId="54663F44" w14:textId="2DE165B7" w:rsidR="005A606E" w:rsidRPr="00EE363B" w:rsidRDefault="00785FA6" w:rsidP="006978D8">
            <w:pPr>
              <w:pStyle w:val="BodyText"/>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EE363B">
              <w:rPr>
                <w:rFonts w:ascii="Arial" w:hAnsi="Arial" w:cs="Arial"/>
                <w:szCs w:val="20"/>
              </w:rPr>
              <w:t>-</w:t>
            </w:r>
          </w:p>
        </w:tc>
        <w:tc>
          <w:tcPr>
            <w:tcW w:w="1245" w:type="dxa"/>
            <w:shd w:val="clear" w:color="auto" w:fill="E7E6E6" w:themeFill="background2"/>
          </w:tcPr>
          <w:p w14:paraId="3F3BCC31" w14:textId="460DB0BE" w:rsidR="005A606E" w:rsidRPr="00EE363B" w:rsidRDefault="00EE15F4" w:rsidP="006978D8">
            <w:pPr>
              <w:pStyle w:val="BodyText"/>
              <w:ind w:right="468"/>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EE363B">
              <w:rPr>
                <w:rFonts w:ascii="Arial" w:hAnsi="Arial" w:cs="Arial"/>
                <w:szCs w:val="20"/>
              </w:rPr>
              <w:t>-</w:t>
            </w:r>
          </w:p>
        </w:tc>
        <w:tc>
          <w:tcPr>
            <w:tcW w:w="1365" w:type="dxa"/>
            <w:shd w:val="clear" w:color="auto" w:fill="E7E6E6" w:themeFill="background2"/>
          </w:tcPr>
          <w:p w14:paraId="2CDAD60E" w14:textId="517480DA" w:rsidR="005A606E" w:rsidRPr="00EE363B" w:rsidRDefault="00EE15F4" w:rsidP="006978D8">
            <w:pPr>
              <w:pStyle w:val="BodyText"/>
              <w:ind w:right="62"/>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EE363B">
              <w:rPr>
                <w:rFonts w:ascii="Arial" w:hAnsi="Arial" w:cs="Arial"/>
                <w:szCs w:val="20"/>
              </w:rPr>
              <w:t>-</w:t>
            </w:r>
          </w:p>
        </w:tc>
        <w:tc>
          <w:tcPr>
            <w:tcW w:w="2450" w:type="dxa"/>
          </w:tcPr>
          <w:p w14:paraId="71960644" w14:textId="2F5DFB07" w:rsidR="005A606E" w:rsidRPr="00EE363B" w:rsidRDefault="00981901" w:rsidP="006978D8">
            <w:pPr>
              <w:pStyle w:val="BodyText"/>
              <w:ind w:right="468"/>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EE363B">
              <w:rPr>
                <w:rFonts w:ascii="Arial" w:hAnsi="Arial" w:cs="Arial"/>
                <w:szCs w:val="20"/>
              </w:rPr>
              <w:t>-</w:t>
            </w:r>
          </w:p>
        </w:tc>
      </w:tr>
      <w:tr w:rsidR="00046B8D" w:rsidRPr="0032104A" w14:paraId="32E731D1" w14:textId="77777777" w:rsidTr="00046B8D">
        <w:trPr>
          <w:trHeight w:val="349"/>
        </w:trPr>
        <w:tc>
          <w:tcPr>
            <w:cnfStyle w:val="001000000000" w:firstRow="0" w:lastRow="0" w:firstColumn="1" w:lastColumn="0" w:oddVBand="0" w:evenVBand="0" w:oddHBand="0" w:evenHBand="0" w:firstRowFirstColumn="0" w:firstRowLastColumn="0" w:lastRowFirstColumn="0" w:lastRowLastColumn="0"/>
            <w:tcW w:w="3180" w:type="dxa"/>
          </w:tcPr>
          <w:p w14:paraId="4D652DEE" w14:textId="3C192C1F" w:rsidR="005A606E" w:rsidRPr="00D204BD" w:rsidRDefault="005A606E" w:rsidP="006978D8">
            <w:pPr>
              <w:pStyle w:val="BodyText"/>
              <w:rPr>
                <w:rFonts w:ascii="Arial" w:hAnsi="Arial" w:cs="Arial"/>
                <w:b/>
                <w:szCs w:val="20"/>
              </w:rPr>
            </w:pPr>
            <w:r w:rsidRPr="00D204BD">
              <w:rPr>
                <w:rFonts w:ascii="Arial" w:hAnsi="Arial" w:cs="Arial"/>
                <w:b/>
                <w:szCs w:val="20"/>
              </w:rPr>
              <w:t xml:space="preserve">Total </w:t>
            </w:r>
          </w:p>
        </w:tc>
        <w:tc>
          <w:tcPr>
            <w:tcW w:w="1485" w:type="dxa"/>
          </w:tcPr>
          <w:p w14:paraId="3D9FDA3A" w14:textId="6759F563" w:rsidR="005A606E" w:rsidRPr="009C2DDC" w:rsidRDefault="00C23FF8" w:rsidP="006978D8">
            <w:pPr>
              <w:pStyle w:val="BodyText"/>
              <w:cnfStyle w:val="000000000000" w:firstRow="0" w:lastRow="0" w:firstColumn="0" w:lastColumn="0" w:oddVBand="0" w:evenVBand="0" w:oddHBand="0" w:evenHBand="0" w:firstRowFirstColumn="0" w:firstRowLastColumn="0" w:lastRowFirstColumn="0" w:lastRowLastColumn="0"/>
              <w:rPr>
                <w:rFonts w:ascii="Arial" w:hAnsi="Arial" w:cs="Arial"/>
                <w:b/>
                <w:bCs/>
                <w:szCs w:val="20"/>
                <w:highlight w:val="yellow"/>
              </w:rPr>
            </w:pPr>
            <w:r w:rsidRPr="009C2DDC">
              <w:rPr>
                <w:rFonts w:ascii="Arial" w:hAnsi="Arial" w:cs="Arial"/>
                <w:b/>
                <w:bCs/>
                <w:szCs w:val="20"/>
              </w:rPr>
              <w:t>3</w:t>
            </w:r>
            <w:r w:rsidR="00E85851" w:rsidRPr="009C2DDC">
              <w:rPr>
                <w:rFonts w:ascii="Arial" w:hAnsi="Arial" w:cs="Arial"/>
                <w:b/>
                <w:bCs/>
                <w:szCs w:val="20"/>
              </w:rPr>
              <w:t>8</w:t>
            </w:r>
          </w:p>
        </w:tc>
        <w:tc>
          <w:tcPr>
            <w:tcW w:w="1245" w:type="dxa"/>
            <w:shd w:val="clear" w:color="auto" w:fill="E7E6E6" w:themeFill="background2"/>
          </w:tcPr>
          <w:p w14:paraId="77F10864" w14:textId="67CB29EC" w:rsidR="005A606E" w:rsidRPr="009C2DDC" w:rsidRDefault="00EA0D4A" w:rsidP="006978D8">
            <w:pPr>
              <w:pStyle w:val="BodyText"/>
              <w:ind w:right="468"/>
              <w:cnfStyle w:val="000000000000" w:firstRow="0" w:lastRow="0" w:firstColumn="0" w:lastColumn="0" w:oddVBand="0" w:evenVBand="0" w:oddHBand="0" w:evenHBand="0" w:firstRowFirstColumn="0" w:firstRowLastColumn="0" w:lastRowFirstColumn="0" w:lastRowLastColumn="0"/>
              <w:rPr>
                <w:rFonts w:ascii="Arial" w:hAnsi="Arial" w:cs="Arial"/>
                <w:b/>
                <w:bCs/>
                <w:szCs w:val="20"/>
                <w:highlight w:val="yellow"/>
              </w:rPr>
            </w:pPr>
            <w:r w:rsidRPr="009C2DDC">
              <w:rPr>
                <w:rFonts w:ascii="Arial" w:hAnsi="Arial" w:cs="Arial"/>
                <w:b/>
                <w:bCs/>
                <w:szCs w:val="20"/>
              </w:rPr>
              <w:t>26</w:t>
            </w:r>
          </w:p>
        </w:tc>
        <w:tc>
          <w:tcPr>
            <w:tcW w:w="1365" w:type="dxa"/>
            <w:shd w:val="clear" w:color="auto" w:fill="E7E6E6" w:themeFill="background2"/>
          </w:tcPr>
          <w:p w14:paraId="2BF69758" w14:textId="1D52378F" w:rsidR="005A606E" w:rsidRPr="00D204BD" w:rsidRDefault="00EA0D4A" w:rsidP="006978D8">
            <w:pPr>
              <w:pStyle w:val="BodyText"/>
              <w:ind w:right="62"/>
              <w:cnfStyle w:val="000000000000" w:firstRow="0" w:lastRow="0" w:firstColumn="0" w:lastColumn="0" w:oddVBand="0" w:evenVBand="0" w:oddHBand="0" w:evenHBand="0" w:firstRowFirstColumn="0" w:firstRowLastColumn="0" w:lastRowFirstColumn="0" w:lastRowLastColumn="0"/>
              <w:rPr>
                <w:rFonts w:ascii="Arial" w:hAnsi="Arial" w:cs="Arial"/>
                <w:b/>
                <w:bCs/>
                <w:szCs w:val="20"/>
              </w:rPr>
            </w:pPr>
            <w:r w:rsidRPr="009C2DDC">
              <w:rPr>
                <w:rFonts w:ascii="Arial" w:hAnsi="Arial" w:cs="Arial"/>
                <w:b/>
                <w:bCs/>
                <w:szCs w:val="20"/>
              </w:rPr>
              <w:t>9</w:t>
            </w:r>
          </w:p>
        </w:tc>
        <w:tc>
          <w:tcPr>
            <w:tcW w:w="2450" w:type="dxa"/>
          </w:tcPr>
          <w:p w14:paraId="3883C9F3" w14:textId="0C02196B" w:rsidR="005A606E" w:rsidRPr="009C2DDC" w:rsidRDefault="00D204BD" w:rsidP="006978D8">
            <w:pPr>
              <w:pStyle w:val="BodyText"/>
              <w:ind w:right="468"/>
              <w:cnfStyle w:val="000000000000" w:firstRow="0" w:lastRow="0" w:firstColumn="0" w:lastColumn="0" w:oddVBand="0" w:evenVBand="0" w:oddHBand="0" w:evenHBand="0" w:firstRowFirstColumn="0" w:firstRowLastColumn="0" w:lastRowFirstColumn="0" w:lastRowLastColumn="0"/>
              <w:rPr>
                <w:rFonts w:ascii="Arial" w:hAnsi="Arial" w:cs="Arial"/>
                <w:b/>
                <w:bCs/>
                <w:highlight w:val="yellow"/>
              </w:rPr>
            </w:pPr>
            <w:r w:rsidRPr="00D204BD">
              <w:rPr>
                <w:rFonts w:ascii="Arial" w:hAnsi="Arial" w:cs="Arial"/>
                <w:b/>
                <w:bCs/>
              </w:rPr>
              <w:t>$169,575,523.10</w:t>
            </w:r>
          </w:p>
        </w:tc>
      </w:tr>
    </w:tbl>
    <w:p w14:paraId="7B146D10" w14:textId="29467C7E" w:rsidR="00E34E37" w:rsidRPr="00F56579" w:rsidRDefault="00A62577" w:rsidP="006978D8">
      <w:pPr>
        <w:pStyle w:val="Heading2"/>
      </w:pPr>
      <w:bookmarkStart w:id="11" w:name="_Toc208711161"/>
      <w:r>
        <w:t>The Pacific Community (SPC)</w:t>
      </w:r>
      <w:bookmarkEnd w:id="11"/>
    </w:p>
    <w:p w14:paraId="05C8054F" w14:textId="19A3495B" w:rsidR="00E34E37" w:rsidRPr="00F56579" w:rsidRDefault="00E34E37" w:rsidP="006978D8">
      <w:pPr>
        <w:spacing w:line="276" w:lineRule="auto"/>
        <w:jc w:val="left"/>
        <w:rPr>
          <w:rFonts w:asciiTheme="majorHAnsi" w:hAnsiTheme="majorHAnsi" w:cstheme="majorHAnsi"/>
          <w:sz w:val="20"/>
          <w:szCs w:val="20"/>
        </w:rPr>
      </w:pPr>
      <w:bookmarkStart w:id="12" w:name="_Toc143779456"/>
      <w:bookmarkStart w:id="13" w:name="_Toc139038088"/>
      <w:bookmarkStart w:id="14" w:name="_Hlk143777718"/>
      <w:r w:rsidRPr="00F56579">
        <w:rPr>
          <w:rFonts w:asciiTheme="majorHAnsi" w:hAnsiTheme="majorHAnsi" w:cstheme="majorHAnsi"/>
          <w:sz w:val="20"/>
          <w:szCs w:val="20"/>
        </w:rPr>
        <w:t xml:space="preserve">The Pacific Community (SPC) is a distinct implementing partner of PWL (known as PWL at SPC) and has a grant agreement with DFAT Canberra, valued at AUD57,600,000. From this total value, SPC provides </w:t>
      </w:r>
      <w:r w:rsidRPr="00F56579">
        <w:rPr>
          <w:rFonts w:asciiTheme="majorHAnsi" w:hAnsiTheme="majorHAnsi" w:cstheme="majorHAnsi"/>
          <w:sz w:val="20"/>
          <w:szCs w:val="20"/>
        </w:rPr>
        <w:lastRenderedPageBreak/>
        <w:t xml:space="preserve">technical support to Pacific governments, hosts and supports regional convenings and a grants program for its government partners and women’s organisations across the Pacific. </w:t>
      </w:r>
    </w:p>
    <w:p w14:paraId="145A964A" w14:textId="2C664EC5" w:rsidR="004E601C" w:rsidRPr="00F56579" w:rsidRDefault="004E601C" w:rsidP="006978D8">
      <w:pPr>
        <w:spacing w:after="360" w:line="276" w:lineRule="auto"/>
        <w:jc w:val="left"/>
        <w:rPr>
          <w:rFonts w:asciiTheme="majorHAnsi" w:hAnsiTheme="majorHAnsi" w:cstheme="majorHAnsi"/>
          <w:sz w:val="20"/>
          <w:szCs w:val="20"/>
        </w:rPr>
      </w:pPr>
      <w:r w:rsidRPr="00F56579">
        <w:rPr>
          <w:rFonts w:asciiTheme="majorHAnsi" w:hAnsiTheme="majorHAnsi" w:cstheme="majorHAnsi"/>
          <w:sz w:val="20"/>
          <w:szCs w:val="20"/>
        </w:rPr>
        <w:t xml:space="preserve">In </w:t>
      </w:r>
      <w:r w:rsidR="00551CE3">
        <w:rPr>
          <w:rFonts w:asciiTheme="majorHAnsi" w:hAnsiTheme="majorHAnsi" w:cstheme="majorHAnsi"/>
          <w:sz w:val="20"/>
          <w:szCs w:val="20"/>
        </w:rPr>
        <w:t>Solomon Islands</w:t>
      </w:r>
      <w:r w:rsidRPr="00F56579">
        <w:rPr>
          <w:rFonts w:asciiTheme="majorHAnsi" w:hAnsiTheme="majorHAnsi" w:cstheme="majorHAnsi"/>
          <w:sz w:val="20"/>
          <w:szCs w:val="20"/>
        </w:rPr>
        <w:t xml:space="preserve">, SPC funds </w:t>
      </w:r>
      <w:r w:rsidR="00491EEE">
        <w:rPr>
          <w:rFonts w:asciiTheme="majorHAnsi" w:hAnsiTheme="majorHAnsi" w:cstheme="majorHAnsi"/>
          <w:sz w:val="20"/>
          <w:szCs w:val="20"/>
        </w:rPr>
        <w:t>9</w:t>
      </w:r>
      <w:r w:rsidR="00491EEE" w:rsidRPr="00F56579">
        <w:rPr>
          <w:rFonts w:asciiTheme="majorHAnsi" w:hAnsiTheme="majorHAnsi" w:cstheme="majorHAnsi"/>
          <w:sz w:val="20"/>
          <w:szCs w:val="20"/>
        </w:rPr>
        <w:t xml:space="preserve"> </w:t>
      </w:r>
      <w:r w:rsidR="00491EEE">
        <w:rPr>
          <w:rFonts w:asciiTheme="majorHAnsi" w:hAnsiTheme="majorHAnsi" w:cstheme="majorHAnsi"/>
          <w:sz w:val="20"/>
          <w:szCs w:val="20"/>
        </w:rPr>
        <w:t>distinct</w:t>
      </w:r>
      <w:r w:rsidR="00491EEE" w:rsidRPr="00F56579">
        <w:rPr>
          <w:rFonts w:asciiTheme="majorHAnsi" w:hAnsiTheme="majorHAnsi" w:cstheme="majorHAnsi"/>
          <w:sz w:val="20"/>
          <w:szCs w:val="20"/>
        </w:rPr>
        <w:t xml:space="preserve"> </w:t>
      </w:r>
      <w:r w:rsidRPr="00F56579">
        <w:rPr>
          <w:rFonts w:asciiTheme="majorHAnsi" w:hAnsiTheme="majorHAnsi" w:cstheme="majorHAnsi"/>
          <w:sz w:val="20"/>
          <w:szCs w:val="20"/>
        </w:rPr>
        <w:t>implementing partner</w:t>
      </w:r>
      <w:r w:rsidR="005D56F6" w:rsidRPr="00F56579">
        <w:rPr>
          <w:rFonts w:asciiTheme="majorHAnsi" w:hAnsiTheme="majorHAnsi" w:cstheme="majorHAnsi"/>
          <w:sz w:val="20"/>
          <w:szCs w:val="20"/>
        </w:rPr>
        <w:t>s</w:t>
      </w:r>
      <w:r w:rsidRPr="00F56579">
        <w:rPr>
          <w:rFonts w:asciiTheme="majorHAnsi" w:hAnsiTheme="majorHAnsi" w:cstheme="majorHAnsi"/>
          <w:sz w:val="20"/>
          <w:szCs w:val="20"/>
        </w:rPr>
        <w:t xml:space="preserve"> to implement </w:t>
      </w:r>
      <w:r w:rsidR="00491EEE">
        <w:rPr>
          <w:rFonts w:asciiTheme="majorHAnsi" w:hAnsiTheme="majorHAnsi" w:cstheme="majorHAnsi"/>
          <w:sz w:val="20"/>
          <w:szCs w:val="20"/>
        </w:rPr>
        <w:t>9</w:t>
      </w:r>
      <w:r w:rsidR="00491EEE" w:rsidRPr="00F56579">
        <w:rPr>
          <w:rFonts w:asciiTheme="majorHAnsi" w:hAnsiTheme="majorHAnsi" w:cstheme="majorHAnsi"/>
          <w:sz w:val="20"/>
          <w:szCs w:val="20"/>
        </w:rPr>
        <w:t xml:space="preserve"> </w:t>
      </w:r>
      <w:r w:rsidRPr="00F56579">
        <w:rPr>
          <w:rFonts w:asciiTheme="majorHAnsi" w:hAnsiTheme="majorHAnsi" w:cstheme="majorHAnsi"/>
          <w:sz w:val="20"/>
          <w:szCs w:val="20"/>
        </w:rPr>
        <w:t>project</w:t>
      </w:r>
      <w:r w:rsidR="00724CF0" w:rsidRPr="00F56579">
        <w:rPr>
          <w:rFonts w:asciiTheme="majorHAnsi" w:hAnsiTheme="majorHAnsi" w:cstheme="majorHAnsi"/>
          <w:sz w:val="20"/>
          <w:szCs w:val="20"/>
        </w:rPr>
        <w:t>s</w:t>
      </w:r>
      <w:r w:rsidRPr="00F56579">
        <w:rPr>
          <w:rFonts w:asciiTheme="majorHAnsi" w:hAnsiTheme="majorHAnsi" w:cstheme="majorHAnsi"/>
          <w:sz w:val="20"/>
          <w:szCs w:val="20"/>
        </w:rPr>
        <w:t xml:space="preserve">. </w:t>
      </w:r>
    </w:p>
    <w:p w14:paraId="72444642" w14:textId="2738ADAB" w:rsidR="004E601C" w:rsidRPr="0032104A" w:rsidRDefault="004E601C" w:rsidP="006978D8">
      <w:pPr>
        <w:pStyle w:val="Caption"/>
        <w:rPr>
          <w:rFonts w:ascii="Arial" w:hAnsi="Arial" w:cs="Arial"/>
          <w:sz w:val="20"/>
          <w:szCs w:val="20"/>
        </w:rPr>
      </w:pPr>
      <w:r w:rsidRPr="6643C3DA">
        <w:rPr>
          <w:rFonts w:ascii="Arial" w:hAnsi="Arial" w:cs="Arial"/>
          <w:sz w:val="20"/>
          <w:szCs w:val="20"/>
        </w:rPr>
        <w:t xml:space="preserve">Table </w:t>
      </w:r>
      <w:r w:rsidRPr="6643C3DA">
        <w:rPr>
          <w:rFonts w:ascii="Arial" w:hAnsi="Arial" w:cs="Arial"/>
          <w:sz w:val="20"/>
          <w:szCs w:val="20"/>
        </w:rPr>
        <w:fldChar w:fldCharType="begin"/>
      </w:r>
      <w:r w:rsidRPr="6643C3DA">
        <w:rPr>
          <w:rFonts w:ascii="Arial" w:hAnsi="Arial" w:cs="Arial"/>
          <w:sz w:val="20"/>
          <w:szCs w:val="20"/>
        </w:rPr>
        <w:instrText>SEQ Table \* ARABIC</w:instrText>
      </w:r>
      <w:r w:rsidRPr="6643C3DA">
        <w:rPr>
          <w:rFonts w:ascii="Arial" w:hAnsi="Arial" w:cs="Arial"/>
          <w:sz w:val="20"/>
          <w:szCs w:val="20"/>
        </w:rPr>
        <w:fldChar w:fldCharType="separate"/>
      </w:r>
      <w:r w:rsidR="00890EE2">
        <w:rPr>
          <w:rFonts w:ascii="Arial" w:hAnsi="Arial" w:cs="Arial"/>
          <w:noProof/>
          <w:sz w:val="20"/>
          <w:szCs w:val="20"/>
        </w:rPr>
        <w:t>2</w:t>
      </w:r>
      <w:r w:rsidRPr="6643C3DA">
        <w:rPr>
          <w:rFonts w:ascii="Arial" w:hAnsi="Arial" w:cs="Arial"/>
          <w:sz w:val="20"/>
          <w:szCs w:val="20"/>
        </w:rPr>
        <w:fldChar w:fldCharType="end"/>
      </w:r>
      <w:r w:rsidRPr="6643C3DA">
        <w:rPr>
          <w:rFonts w:ascii="Arial" w:hAnsi="Arial" w:cs="Arial"/>
          <w:sz w:val="20"/>
          <w:szCs w:val="20"/>
        </w:rPr>
        <w:t>:</w:t>
      </w:r>
      <w:r w:rsidR="0058552E" w:rsidRPr="6643C3DA">
        <w:rPr>
          <w:rFonts w:ascii="Arial" w:hAnsi="Arial" w:cs="Arial"/>
          <w:sz w:val="20"/>
          <w:szCs w:val="20"/>
        </w:rPr>
        <w:t xml:space="preserve"> </w:t>
      </w:r>
      <w:r w:rsidRPr="6643C3DA">
        <w:rPr>
          <w:rFonts w:ascii="Arial" w:hAnsi="Arial" w:cs="Arial"/>
          <w:sz w:val="20"/>
          <w:szCs w:val="20"/>
        </w:rPr>
        <w:t xml:space="preserve">SPC </w:t>
      </w:r>
      <w:r w:rsidR="2120F86B" w:rsidRPr="6643C3DA">
        <w:rPr>
          <w:rFonts w:ascii="Arial" w:hAnsi="Arial" w:cs="Arial"/>
          <w:sz w:val="20"/>
          <w:szCs w:val="20"/>
        </w:rPr>
        <w:t xml:space="preserve">grants </w:t>
      </w:r>
      <w:r w:rsidRPr="6643C3DA">
        <w:rPr>
          <w:rFonts w:ascii="Arial" w:hAnsi="Arial" w:cs="Arial"/>
          <w:sz w:val="20"/>
          <w:szCs w:val="20"/>
        </w:rPr>
        <w:t xml:space="preserve">in </w:t>
      </w:r>
      <w:r w:rsidR="00551CE3" w:rsidRPr="6643C3DA">
        <w:rPr>
          <w:rFonts w:ascii="Arial" w:hAnsi="Arial" w:cs="Arial"/>
          <w:sz w:val="20"/>
          <w:szCs w:val="20"/>
        </w:rPr>
        <w:t>Solomon Islands</w:t>
      </w:r>
      <w:r w:rsidRPr="6643C3DA">
        <w:rPr>
          <w:rFonts w:ascii="Arial" w:hAnsi="Arial" w:cs="Arial"/>
          <w:sz w:val="20"/>
          <w:szCs w:val="20"/>
        </w:rPr>
        <w:t xml:space="preserve"> as </w:t>
      </w:r>
      <w:r w:rsidR="0058552E" w:rsidRPr="6643C3DA">
        <w:rPr>
          <w:rFonts w:ascii="Arial" w:hAnsi="Arial" w:cs="Arial"/>
          <w:sz w:val="20"/>
          <w:szCs w:val="20"/>
        </w:rPr>
        <w:t xml:space="preserve">of </w:t>
      </w:r>
      <w:r w:rsidRPr="6643C3DA">
        <w:rPr>
          <w:rFonts w:ascii="Arial" w:hAnsi="Arial" w:cs="Arial"/>
          <w:sz w:val="20"/>
          <w:szCs w:val="20"/>
        </w:rPr>
        <w:t xml:space="preserve">31 </w:t>
      </w:r>
      <w:r w:rsidR="0058552E" w:rsidRPr="6643C3DA">
        <w:rPr>
          <w:rFonts w:ascii="Arial" w:hAnsi="Arial" w:cs="Arial"/>
          <w:sz w:val="20"/>
          <w:szCs w:val="20"/>
        </w:rPr>
        <w:t xml:space="preserve">August </w:t>
      </w:r>
      <w:r w:rsidR="0032104A" w:rsidRPr="6643C3DA">
        <w:rPr>
          <w:rFonts w:ascii="Arial" w:hAnsi="Arial" w:cs="Arial"/>
          <w:sz w:val="20"/>
          <w:szCs w:val="20"/>
        </w:rPr>
        <w:t>2025</w:t>
      </w:r>
    </w:p>
    <w:tbl>
      <w:tblPr>
        <w:tblStyle w:val="PlainTable2"/>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653"/>
        <w:gridCol w:w="2726"/>
        <w:gridCol w:w="3646"/>
        <w:gridCol w:w="1435"/>
        <w:gridCol w:w="1169"/>
      </w:tblGrid>
      <w:tr w:rsidR="00FE6318" w:rsidRPr="007A5A75" w14:paraId="3AA6ECD2" w14:textId="77777777" w:rsidTr="00FE63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shd w:val="clear" w:color="auto" w:fill="006699"/>
            <w:tcMar>
              <w:top w:w="85" w:type="dxa"/>
              <w:bottom w:w="85" w:type="dxa"/>
            </w:tcMar>
          </w:tcPr>
          <w:p w14:paraId="2CEE365E" w14:textId="47282454" w:rsidR="00290973" w:rsidRPr="00290973" w:rsidRDefault="00290973" w:rsidP="006978D8">
            <w:pPr>
              <w:spacing w:line="276" w:lineRule="auto"/>
              <w:rPr>
                <w:rFonts w:asciiTheme="majorHAnsi" w:hAnsiTheme="majorHAnsi" w:cstheme="majorHAnsi"/>
                <w:sz w:val="20"/>
                <w:szCs w:val="20"/>
              </w:rPr>
            </w:pPr>
            <w:r w:rsidRPr="007465EF">
              <w:rPr>
                <w:rFonts w:asciiTheme="majorHAnsi" w:hAnsiTheme="majorHAnsi" w:cstheme="majorHAnsi"/>
                <w:color w:val="FFFFFF" w:themeColor="background1"/>
                <w:sz w:val="20"/>
                <w:szCs w:val="20"/>
              </w:rPr>
              <w:t>No.</w:t>
            </w:r>
          </w:p>
        </w:tc>
        <w:tc>
          <w:tcPr>
            <w:tcW w:w="2726" w:type="dxa"/>
            <w:shd w:val="clear" w:color="auto" w:fill="006699"/>
            <w:tcMar>
              <w:top w:w="85" w:type="dxa"/>
              <w:bottom w:w="85" w:type="dxa"/>
            </w:tcMar>
          </w:tcPr>
          <w:p w14:paraId="49A88D17" w14:textId="79900FE1" w:rsidR="00290973" w:rsidRPr="00290973" w:rsidRDefault="00290973" w:rsidP="006978D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65EF">
              <w:rPr>
                <w:rFonts w:asciiTheme="majorHAnsi" w:hAnsiTheme="majorHAnsi" w:cstheme="majorHAnsi"/>
                <w:color w:val="FFFFFF" w:themeColor="background1"/>
                <w:sz w:val="20"/>
                <w:szCs w:val="20"/>
              </w:rPr>
              <w:t>Project name and partner</w:t>
            </w:r>
          </w:p>
        </w:tc>
        <w:tc>
          <w:tcPr>
            <w:tcW w:w="3646" w:type="dxa"/>
            <w:shd w:val="clear" w:color="auto" w:fill="006699"/>
            <w:tcMar>
              <w:top w:w="85" w:type="dxa"/>
              <w:bottom w:w="85" w:type="dxa"/>
            </w:tcMar>
          </w:tcPr>
          <w:p w14:paraId="62397622" w14:textId="26BE18F6" w:rsidR="00290973" w:rsidRPr="00290973" w:rsidRDefault="00290973" w:rsidP="006978D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65EF">
              <w:rPr>
                <w:rFonts w:asciiTheme="majorHAnsi" w:hAnsiTheme="majorHAnsi" w:cstheme="majorHAnsi"/>
                <w:color w:val="FFFFFF" w:themeColor="background1"/>
                <w:sz w:val="20"/>
                <w:szCs w:val="20"/>
              </w:rPr>
              <w:t>Project description</w:t>
            </w:r>
          </w:p>
        </w:tc>
        <w:tc>
          <w:tcPr>
            <w:tcW w:w="1435" w:type="dxa"/>
            <w:shd w:val="clear" w:color="auto" w:fill="006699"/>
            <w:tcMar>
              <w:top w:w="85" w:type="dxa"/>
              <w:bottom w:w="85" w:type="dxa"/>
            </w:tcMar>
          </w:tcPr>
          <w:p w14:paraId="5175DAD4" w14:textId="65D05055" w:rsidR="00290973" w:rsidRPr="00290973" w:rsidRDefault="00290973" w:rsidP="006978D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7465EF">
              <w:rPr>
                <w:rFonts w:asciiTheme="majorHAnsi" w:hAnsiTheme="majorHAnsi" w:cstheme="majorHAnsi"/>
                <w:color w:val="FFFFFF" w:themeColor="background1"/>
                <w:sz w:val="20"/>
                <w:szCs w:val="20"/>
              </w:rPr>
              <w:t>Value (AUD) / timeframe</w:t>
            </w:r>
          </w:p>
        </w:tc>
        <w:tc>
          <w:tcPr>
            <w:tcW w:w="1169" w:type="dxa"/>
            <w:shd w:val="clear" w:color="auto" w:fill="006699"/>
          </w:tcPr>
          <w:p w14:paraId="3158E71C" w14:textId="03A6CB36" w:rsidR="00290973" w:rsidRPr="00290973" w:rsidRDefault="00290973" w:rsidP="006978D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65EF">
              <w:rPr>
                <w:rFonts w:asciiTheme="majorHAnsi" w:hAnsiTheme="majorHAnsi" w:cstheme="majorHAnsi"/>
                <w:color w:val="FFFFFF" w:themeColor="background1"/>
                <w:sz w:val="20"/>
                <w:szCs w:val="20"/>
              </w:rPr>
              <w:t>Project status</w:t>
            </w:r>
          </w:p>
        </w:tc>
      </w:tr>
      <w:tr w:rsidR="006935B5" w:rsidRPr="007A5A75" w14:paraId="176A1BAE" w14:textId="77777777" w:rsidTr="00491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4870F6B0" w14:textId="77777777" w:rsidR="00290973" w:rsidRDefault="00290973" w:rsidP="006978D8">
            <w:pPr>
              <w:spacing w:line="276" w:lineRule="auto"/>
              <w:rPr>
                <w:rFonts w:asciiTheme="majorHAnsi" w:hAnsiTheme="majorHAnsi" w:cstheme="majorHAnsi"/>
                <w:bCs w:val="0"/>
                <w:sz w:val="20"/>
                <w:szCs w:val="20"/>
              </w:rPr>
            </w:pPr>
            <w:r w:rsidRPr="00290973">
              <w:rPr>
                <w:rFonts w:asciiTheme="majorHAnsi" w:hAnsiTheme="majorHAnsi" w:cstheme="majorHAnsi"/>
                <w:sz w:val="20"/>
                <w:szCs w:val="20"/>
              </w:rPr>
              <w:t>1</w:t>
            </w:r>
          </w:p>
          <w:p w14:paraId="6274F293" w14:textId="77777777" w:rsidR="00290973" w:rsidRDefault="00290973" w:rsidP="006978D8">
            <w:pPr>
              <w:rPr>
                <w:rFonts w:asciiTheme="majorHAnsi" w:hAnsiTheme="majorHAnsi" w:cstheme="majorHAnsi"/>
                <w:bCs w:val="0"/>
                <w:sz w:val="20"/>
                <w:szCs w:val="20"/>
              </w:rPr>
            </w:pPr>
          </w:p>
          <w:p w14:paraId="7ACA1C9A" w14:textId="77777777" w:rsidR="00290973" w:rsidRDefault="00290973" w:rsidP="006978D8">
            <w:pPr>
              <w:rPr>
                <w:rFonts w:asciiTheme="majorHAnsi" w:hAnsiTheme="majorHAnsi" w:cstheme="majorHAnsi"/>
                <w:bCs w:val="0"/>
                <w:sz w:val="20"/>
                <w:szCs w:val="20"/>
              </w:rPr>
            </w:pPr>
          </w:p>
          <w:p w14:paraId="5CAD31B0" w14:textId="1FF8BDB0" w:rsidR="00290973" w:rsidRPr="00290973" w:rsidRDefault="00290973" w:rsidP="006978D8">
            <w:pPr>
              <w:rPr>
                <w:rFonts w:asciiTheme="majorHAnsi" w:hAnsiTheme="majorHAnsi" w:cstheme="majorHAnsi"/>
                <w:sz w:val="20"/>
                <w:szCs w:val="20"/>
              </w:rPr>
            </w:pPr>
          </w:p>
        </w:tc>
        <w:tc>
          <w:tcPr>
            <w:tcW w:w="0" w:type="dxa"/>
            <w:tcMar>
              <w:top w:w="85" w:type="dxa"/>
              <w:bottom w:w="85" w:type="dxa"/>
            </w:tcMar>
          </w:tcPr>
          <w:p w14:paraId="7B580679" w14:textId="77777777" w:rsidR="00290973" w:rsidRPr="00290973"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90973">
              <w:rPr>
                <w:rFonts w:asciiTheme="majorHAnsi" w:hAnsiTheme="majorHAnsi" w:cstheme="majorHAnsi"/>
                <w:sz w:val="20"/>
                <w:szCs w:val="20"/>
              </w:rPr>
              <w:t>Barriers to Female Leadership for Staff at Selected Pacific Island Universities, with an emphasis on Science, Technology, Engineering and Mathematics (STEM)</w:t>
            </w:r>
          </w:p>
          <w:p w14:paraId="7AFD527B" w14:textId="77777777" w:rsidR="00290973" w:rsidRPr="00290973"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35222B5" w14:textId="77777777" w:rsidR="00290973" w:rsidRPr="00290973"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90973">
              <w:rPr>
                <w:rFonts w:asciiTheme="majorHAnsi" w:hAnsiTheme="majorHAnsi" w:cstheme="majorHAnsi"/>
                <w:sz w:val="20"/>
                <w:szCs w:val="20"/>
              </w:rPr>
              <w:t>(University of South Pacific)</w:t>
            </w:r>
          </w:p>
        </w:tc>
        <w:tc>
          <w:tcPr>
            <w:tcW w:w="0" w:type="dxa"/>
            <w:tcMar>
              <w:top w:w="85" w:type="dxa"/>
              <w:bottom w:w="85" w:type="dxa"/>
            </w:tcMar>
          </w:tcPr>
          <w:p w14:paraId="610A547E" w14:textId="77777777" w:rsidR="00290973" w:rsidRPr="00290973"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90973">
              <w:rPr>
                <w:rFonts w:asciiTheme="majorHAnsi" w:hAnsiTheme="majorHAnsi" w:cstheme="majorHAnsi"/>
                <w:sz w:val="20"/>
                <w:szCs w:val="20"/>
              </w:rPr>
              <w:t>This project aims to establish baselines and catalysing mechanisms to increase the number of women in senior leadership positions in Pacific Island Universities within STEM and beyond.</w:t>
            </w:r>
          </w:p>
        </w:tc>
        <w:tc>
          <w:tcPr>
            <w:tcW w:w="0" w:type="dxa"/>
            <w:tcMar>
              <w:top w:w="85" w:type="dxa"/>
              <w:bottom w:w="85" w:type="dxa"/>
            </w:tcMar>
          </w:tcPr>
          <w:p w14:paraId="64583E56" w14:textId="77777777" w:rsidR="00290973" w:rsidRPr="00290973"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90973">
              <w:rPr>
                <w:rFonts w:asciiTheme="majorHAnsi" w:hAnsiTheme="majorHAnsi" w:cstheme="majorHAnsi"/>
                <w:sz w:val="20"/>
                <w:szCs w:val="20"/>
                <w:lang w:val="en-US"/>
              </w:rPr>
              <w:t>$415,539</w:t>
            </w:r>
          </w:p>
          <w:p w14:paraId="285C5DE8" w14:textId="77777777" w:rsidR="00290973" w:rsidRPr="00290973"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7A8B6000" w14:textId="77777777" w:rsidR="00290973" w:rsidRPr="00290973"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90973">
              <w:rPr>
                <w:rFonts w:asciiTheme="majorHAnsi" w:hAnsiTheme="majorHAnsi" w:cstheme="majorHAnsi"/>
                <w:sz w:val="20"/>
                <w:szCs w:val="20"/>
                <w:lang w:val="en-US"/>
              </w:rPr>
              <w:t>2024</w:t>
            </w:r>
            <w:r w:rsidRPr="00290973">
              <w:rPr>
                <w:rFonts w:asciiTheme="majorHAnsi" w:hAnsiTheme="majorHAnsi" w:cstheme="majorHAnsi"/>
                <w:sz w:val="20"/>
                <w:szCs w:val="20"/>
              </w:rPr>
              <w:t>–</w:t>
            </w:r>
            <w:r w:rsidRPr="00290973">
              <w:rPr>
                <w:rFonts w:asciiTheme="majorHAnsi" w:hAnsiTheme="majorHAnsi" w:cstheme="majorHAnsi"/>
                <w:sz w:val="20"/>
                <w:szCs w:val="20"/>
                <w:lang w:val="en-US"/>
              </w:rPr>
              <w:t>2025</w:t>
            </w:r>
          </w:p>
        </w:tc>
        <w:tc>
          <w:tcPr>
            <w:tcW w:w="0" w:type="dxa"/>
          </w:tcPr>
          <w:p w14:paraId="4FEECE38" w14:textId="16802A20" w:rsidR="00290973" w:rsidRPr="00290973"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90973">
              <w:rPr>
                <w:rFonts w:asciiTheme="majorHAnsi" w:hAnsiTheme="majorHAnsi" w:cstheme="majorHAnsi"/>
                <w:sz w:val="20"/>
                <w:szCs w:val="20"/>
              </w:rPr>
              <w:t xml:space="preserve">Ongoing </w:t>
            </w:r>
          </w:p>
        </w:tc>
      </w:tr>
      <w:tr w:rsidR="00FE6318" w:rsidRPr="007A5A75" w14:paraId="1306F73E" w14:textId="77777777" w:rsidTr="00491EEE">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5CB493D0" w14:textId="40CB8D48" w:rsidR="00290973" w:rsidRPr="009C2DDC" w:rsidRDefault="00290973" w:rsidP="006978D8">
            <w:pPr>
              <w:spacing w:line="276" w:lineRule="auto"/>
              <w:rPr>
                <w:rFonts w:asciiTheme="majorHAnsi" w:hAnsiTheme="majorHAnsi" w:cstheme="majorHAnsi"/>
                <w:sz w:val="20"/>
                <w:szCs w:val="20"/>
              </w:rPr>
            </w:pPr>
            <w:r w:rsidRPr="009C2DDC">
              <w:rPr>
                <w:rFonts w:asciiTheme="majorHAnsi" w:hAnsiTheme="majorHAnsi" w:cstheme="majorHAnsi"/>
                <w:sz w:val="20"/>
                <w:szCs w:val="20"/>
              </w:rPr>
              <w:t>2</w:t>
            </w:r>
          </w:p>
        </w:tc>
        <w:tc>
          <w:tcPr>
            <w:tcW w:w="0" w:type="dxa"/>
            <w:tcMar>
              <w:top w:w="85" w:type="dxa"/>
              <w:bottom w:w="85" w:type="dxa"/>
            </w:tcMar>
          </w:tcPr>
          <w:p w14:paraId="169775D8" w14:textId="77777777"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9C2DDC">
              <w:rPr>
                <w:rFonts w:asciiTheme="majorHAnsi" w:hAnsiTheme="majorHAnsi" w:cstheme="majorHAnsi"/>
                <w:sz w:val="20"/>
                <w:szCs w:val="20"/>
                <w:lang w:val="en-US"/>
              </w:rPr>
              <w:t>Economic Empowerment for Rural Remote Pacific Women</w:t>
            </w:r>
          </w:p>
          <w:p w14:paraId="37FBA7D1" w14:textId="77777777"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3A4107F5" w14:textId="5D254124"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9C2DDC">
              <w:rPr>
                <w:rFonts w:asciiTheme="majorHAnsi" w:hAnsiTheme="majorHAnsi" w:cstheme="majorHAnsi"/>
                <w:sz w:val="20"/>
                <w:szCs w:val="20"/>
                <w:lang w:val="en-US"/>
              </w:rPr>
              <w:t>(Rise beyond the Reef)</w:t>
            </w:r>
          </w:p>
          <w:p w14:paraId="4B90ACCB" w14:textId="77777777"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0841D2F9" w14:textId="77777777"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lang w:val="en-US"/>
              </w:rPr>
              <w:t>In Solomon Islands, the project works through the established Artisan Cooperative representatives in partnership with local government, village leaders, spouses, to develop a community development strategy that promotes GE and address harmful norms through GESI outreach trainings and community check-ins.</w:t>
            </w:r>
          </w:p>
        </w:tc>
        <w:tc>
          <w:tcPr>
            <w:tcW w:w="0" w:type="dxa"/>
            <w:tcMar>
              <w:top w:w="85" w:type="dxa"/>
              <w:bottom w:w="85" w:type="dxa"/>
            </w:tcMar>
          </w:tcPr>
          <w:p w14:paraId="60474B29" w14:textId="4DDCD794"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9C2DDC">
              <w:rPr>
                <w:rFonts w:asciiTheme="majorHAnsi" w:hAnsiTheme="majorHAnsi" w:cstheme="majorHAnsi"/>
                <w:sz w:val="20"/>
                <w:szCs w:val="20"/>
                <w:lang w:val="en-US"/>
              </w:rPr>
              <w:t>$499,595</w:t>
            </w:r>
          </w:p>
          <w:p w14:paraId="2A1B4048" w14:textId="77777777"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727DE292" w14:textId="77777777"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9C2DDC">
              <w:rPr>
                <w:rFonts w:asciiTheme="majorHAnsi" w:hAnsiTheme="majorHAnsi" w:cstheme="majorHAnsi"/>
                <w:sz w:val="20"/>
                <w:szCs w:val="20"/>
                <w:lang w:val="en-US"/>
              </w:rPr>
              <w:t>2024 – 2025</w:t>
            </w:r>
          </w:p>
        </w:tc>
        <w:tc>
          <w:tcPr>
            <w:tcW w:w="0" w:type="dxa"/>
          </w:tcPr>
          <w:p w14:paraId="6269E1C4" w14:textId="2C472D52"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 xml:space="preserve">Ongoing </w:t>
            </w:r>
          </w:p>
        </w:tc>
      </w:tr>
      <w:tr w:rsidR="006935B5" w:rsidRPr="007A5A75" w14:paraId="4D5D8D34" w14:textId="77777777" w:rsidTr="00491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57B9DC18" w14:textId="158C5E94" w:rsidR="00290973" w:rsidRPr="009C2DDC" w:rsidRDefault="00290973" w:rsidP="006978D8">
            <w:pPr>
              <w:spacing w:line="276" w:lineRule="auto"/>
              <w:rPr>
                <w:rFonts w:asciiTheme="majorHAnsi" w:hAnsiTheme="majorHAnsi" w:cstheme="majorHAnsi"/>
                <w:sz w:val="20"/>
                <w:szCs w:val="20"/>
              </w:rPr>
            </w:pPr>
            <w:r w:rsidRPr="009C2DDC">
              <w:rPr>
                <w:rFonts w:asciiTheme="majorHAnsi" w:hAnsiTheme="majorHAnsi" w:cstheme="majorHAnsi"/>
                <w:sz w:val="20"/>
                <w:szCs w:val="20"/>
              </w:rPr>
              <w:t>3</w:t>
            </w:r>
          </w:p>
        </w:tc>
        <w:tc>
          <w:tcPr>
            <w:tcW w:w="0" w:type="dxa"/>
            <w:tcMar>
              <w:top w:w="85" w:type="dxa"/>
              <w:bottom w:w="85" w:type="dxa"/>
            </w:tcMar>
          </w:tcPr>
          <w:p w14:paraId="103D6E72" w14:textId="77777777"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lang w:val="en-US"/>
              </w:rPr>
              <w:t xml:space="preserve">Implementation of the 2014 Family Protection and Gender Analysis on the Cyber Crime Bill </w:t>
            </w:r>
          </w:p>
          <w:p w14:paraId="1FC2CA35" w14:textId="77777777"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ED40EFA" w14:textId="77777777"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(Ministry of Women, Youth, Children and Family Affairs)</w:t>
            </w:r>
          </w:p>
        </w:tc>
        <w:tc>
          <w:tcPr>
            <w:tcW w:w="0" w:type="dxa"/>
            <w:tcMar>
              <w:top w:w="85" w:type="dxa"/>
              <w:bottom w:w="85" w:type="dxa"/>
            </w:tcMar>
          </w:tcPr>
          <w:p w14:paraId="784F3760" w14:textId="22BD3593"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C2DDC">
              <w:rPr>
                <w:rFonts w:asciiTheme="majorHAnsi" w:hAnsiTheme="majorHAnsi" w:cstheme="majorHAnsi"/>
                <w:sz w:val="20"/>
                <w:szCs w:val="20"/>
              </w:rPr>
              <w:t>This project supports the implementation of the 2014 Family Protection Act by strengthening GBV response systems and legal frameworks including a gender analysis of the Cyber Crime Bill. It works to establish a Domestic Violence Counselling Committees in 9 provinces and deliver training of first responders in partnership with the Solomon Islands Police Force. The project also promotes financial literacy and better business practices for rural women in Guadalcanal Province. A national EVAW coordinator will be recruited to lead these efforts, ensuring sustainability and impact.</w:t>
            </w:r>
          </w:p>
        </w:tc>
        <w:tc>
          <w:tcPr>
            <w:tcW w:w="0" w:type="dxa"/>
            <w:tcMar>
              <w:top w:w="85" w:type="dxa"/>
              <w:bottom w:w="85" w:type="dxa"/>
            </w:tcMar>
          </w:tcPr>
          <w:p w14:paraId="120C64AD" w14:textId="41A2737D"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C2DDC">
              <w:rPr>
                <w:rFonts w:asciiTheme="majorHAnsi" w:hAnsiTheme="majorHAnsi" w:cstheme="majorHAnsi"/>
                <w:sz w:val="20"/>
                <w:szCs w:val="20"/>
                <w:lang w:val="en-US"/>
              </w:rPr>
              <w:t>$395,213</w:t>
            </w:r>
          </w:p>
          <w:p w14:paraId="007EEBA3" w14:textId="77777777"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202274D4" w14:textId="77777777"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lang w:val="en-US"/>
              </w:rPr>
              <w:t>2024</w:t>
            </w:r>
            <w:r w:rsidRPr="009C2DDC">
              <w:rPr>
                <w:rFonts w:asciiTheme="majorHAnsi" w:hAnsiTheme="majorHAnsi" w:cstheme="majorHAnsi"/>
                <w:sz w:val="20"/>
                <w:szCs w:val="20"/>
              </w:rPr>
              <w:t>–</w:t>
            </w:r>
            <w:r w:rsidRPr="009C2DDC">
              <w:rPr>
                <w:rFonts w:asciiTheme="majorHAnsi" w:hAnsiTheme="majorHAnsi" w:cstheme="majorHAnsi"/>
                <w:sz w:val="20"/>
                <w:szCs w:val="20"/>
                <w:lang w:val="en-US"/>
              </w:rPr>
              <w:t>2025</w:t>
            </w:r>
          </w:p>
        </w:tc>
        <w:tc>
          <w:tcPr>
            <w:tcW w:w="0" w:type="dxa"/>
          </w:tcPr>
          <w:p w14:paraId="64E8ADB9" w14:textId="10354DF1"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Ongoing</w:t>
            </w:r>
          </w:p>
        </w:tc>
      </w:tr>
      <w:tr w:rsidR="00FE6318" w:rsidRPr="007A5A75" w14:paraId="1B901DA9" w14:textId="77777777" w:rsidTr="00491EEE">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028BC6B3" w14:textId="16AD3AD3" w:rsidR="00290973" w:rsidRPr="009C2DDC" w:rsidRDefault="00290973" w:rsidP="006978D8">
            <w:pPr>
              <w:spacing w:line="276" w:lineRule="auto"/>
              <w:rPr>
                <w:rFonts w:asciiTheme="majorHAnsi" w:hAnsiTheme="majorHAnsi" w:cstheme="majorHAnsi"/>
                <w:sz w:val="20"/>
                <w:szCs w:val="20"/>
              </w:rPr>
            </w:pPr>
            <w:r w:rsidRPr="009C2DDC">
              <w:rPr>
                <w:rFonts w:asciiTheme="majorHAnsi" w:hAnsiTheme="majorHAnsi" w:cstheme="majorHAnsi"/>
                <w:sz w:val="20"/>
                <w:szCs w:val="20"/>
              </w:rPr>
              <w:t>4</w:t>
            </w:r>
          </w:p>
        </w:tc>
        <w:tc>
          <w:tcPr>
            <w:tcW w:w="0" w:type="dxa"/>
            <w:tcMar>
              <w:top w:w="85" w:type="dxa"/>
              <w:bottom w:w="85" w:type="dxa"/>
            </w:tcMar>
          </w:tcPr>
          <w:p w14:paraId="47527600" w14:textId="77777777"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9C2DDC">
              <w:rPr>
                <w:rFonts w:asciiTheme="majorHAnsi" w:hAnsiTheme="majorHAnsi" w:cstheme="majorHAnsi"/>
                <w:sz w:val="20"/>
                <w:szCs w:val="20"/>
                <w:lang w:val="en-US"/>
              </w:rPr>
              <w:t>Just, Safe, Resilient and Empowered Pacific Communities</w:t>
            </w:r>
          </w:p>
          <w:p w14:paraId="5928A38F" w14:textId="77777777"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76866471" w14:textId="6F6DF13E"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9C2DDC">
              <w:rPr>
                <w:rFonts w:asciiTheme="majorHAnsi" w:hAnsiTheme="majorHAnsi" w:cstheme="majorHAnsi"/>
                <w:sz w:val="20"/>
                <w:szCs w:val="20"/>
                <w:lang w:val="en-US"/>
              </w:rPr>
              <w:t>(Pacific Conference of Churches – PCC)</w:t>
            </w:r>
          </w:p>
          <w:p w14:paraId="4185C7F4" w14:textId="77777777"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0" w:type="dxa"/>
            <w:tcMar>
              <w:top w:w="85" w:type="dxa"/>
              <w:bottom w:w="85" w:type="dxa"/>
            </w:tcMar>
          </w:tcPr>
          <w:p w14:paraId="44549FFA" w14:textId="1DF15AC4"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9C2DDC">
              <w:rPr>
                <w:rFonts w:asciiTheme="majorHAnsi" w:hAnsiTheme="majorHAnsi" w:cstheme="majorHAnsi"/>
                <w:sz w:val="20"/>
                <w:szCs w:val="20"/>
                <w:lang w:val="en-US"/>
              </w:rPr>
              <w:t xml:space="preserve">The Project works to establish a reporting system for member churches to track and report on their gender equality performance, implement a Safe Church policy on zero tolerance of VAWC in church communities and the Code of Conduct and development and roll out of the Pacific regional </w:t>
            </w:r>
            <w:r w:rsidRPr="009C2DDC">
              <w:rPr>
                <w:rFonts w:asciiTheme="majorHAnsi" w:hAnsiTheme="majorHAnsi" w:cstheme="majorHAnsi"/>
                <w:sz w:val="20"/>
                <w:szCs w:val="20"/>
                <w:lang w:val="en-US"/>
              </w:rPr>
              <w:lastRenderedPageBreak/>
              <w:t xml:space="preserve">faith-based EVAWG strategy. The Project also works to increase women’s participation and access in Church leadership and theology, collaboration of women theologians and national, regional Feminist </w:t>
            </w:r>
            <w:r w:rsidRPr="007A5A75">
              <w:rPr>
                <w:rFonts w:asciiTheme="majorHAnsi" w:hAnsiTheme="majorHAnsi" w:cstheme="majorHAnsi"/>
                <w:sz w:val="20"/>
                <w:szCs w:val="20"/>
                <w:lang w:val="en-US"/>
              </w:rPr>
              <w:t>Organi</w:t>
            </w:r>
            <w:r w:rsidR="00C34CAD">
              <w:rPr>
                <w:rFonts w:asciiTheme="majorHAnsi" w:hAnsiTheme="majorHAnsi" w:cstheme="majorHAnsi"/>
                <w:sz w:val="20"/>
                <w:szCs w:val="20"/>
                <w:lang w:val="en-US"/>
              </w:rPr>
              <w:t>s</w:t>
            </w:r>
            <w:r w:rsidRPr="007A5A75">
              <w:rPr>
                <w:rFonts w:asciiTheme="majorHAnsi" w:hAnsiTheme="majorHAnsi" w:cstheme="majorHAnsi"/>
                <w:sz w:val="20"/>
                <w:szCs w:val="20"/>
                <w:lang w:val="en-US"/>
              </w:rPr>
              <w:t>ations</w:t>
            </w:r>
            <w:r w:rsidRPr="009C2DDC">
              <w:rPr>
                <w:rFonts w:asciiTheme="majorHAnsi" w:hAnsiTheme="majorHAnsi" w:cstheme="majorHAnsi"/>
                <w:sz w:val="20"/>
                <w:szCs w:val="20"/>
                <w:lang w:val="en-US"/>
              </w:rPr>
              <w:t xml:space="preserve">, development of Church </w:t>
            </w:r>
            <w:r w:rsidRPr="007A5A75">
              <w:rPr>
                <w:rFonts w:asciiTheme="majorHAnsi" w:hAnsiTheme="majorHAnsi" w:cstheme="majorHAnsi"/>
                <w:sz w:val="20"/>
                <w:szCs w:val="20"/>
                <w:lang w:val="en-US"/>
              </w:rPr>
              <w:t>programs</w:t>
            </w:r>
            <w:r w:rsidRPr="009C2DDC">
              <w:rPr>
                <w:rFonts w:asciiTheme="majorHAnsi" w:hAnsiTheme="majorHAnsi" w:cstheme="majorHAnsi"/>
                <w:sz w:val="20"/>
                <w:szCs w:val="20"/>
                <w:lang w:val="en-US"/>
              </w:rPr>
              <w:t xml:space="preserve"> to address masculinity and violence.</w:t>
            </w:r>
          </w:p>
        </w:tc>
        <w:tc>
          <w:tcPr>
            <w:tcW w:w="0" w:type="dxa"/>
            <w:tcMar>
              <w:top w:w="85" w:type="dxa"/>
              <w:bottom w:w="85" w:type="dxa"/>
            </w:tcMar>
          </w:tcPr>
          <w:p w14:paraId="7D8A0678" w14:textId="77777777"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9C2DDC">
              <w:rPr>
                <w:rFonts w:asciiTheme="majorHAnsi" w:hAnsiTheme="majorHAnsi" w:cstheme="majorHAnsi"/>
                <w:sz w:val="20"/>
                <w:szCs w:val="20"/>
                <w:lang w:val="en-US"/>
              </w:rPr>
              <w:lastRenderedPageBreak/>
              <w:t>$500,000</w:t>
            </w:r>
          </w:p>
          <w:p w14:paraId="332722D4" w14:textId="77777777"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7F6FF4F4" w14:textId="77777777"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9C2DDC">
              <w:rPr>
                <w:rFonts w:asciiTheme="majorHAnsi" w:hAnsiTheme="majorHAnsi" w:cstheme="majorHAnsi"/>
                <w:sz w:val="20"/>
                <w:szCs w:val="20"/>
                <w:lang w:val="en-US"/>
              </w:rPr>
              <w:t>2024 - 2025</w:t>
            </w:r>
          </w:p>
        </w:tc>
        <w:tc>
          <w:tcPr>
            <w:tcW w:w="0" w:type="dxa"/>
          </w:tcPr>
          <w:p w14:paraId="051541F6" w14:textId="6A1A321F"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Ongoing</w:t>
            </w:r>
          </w:p>
        </w:tc>
      </w:tr>
      <w:tr w:rsidR="006935B5" w:rsidRPr="007A5A75" w14:paraId="5575D036" w14:textId="77777777" w:rsidTr="00491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tcMar>
              <w:top w:w="85" w:type="dxa"/>
              <w:bottom w:w="85" w:type="dxa"/>
            </w:tcMar>
          </w:tcPr>
          <w:p w14:paraId="12ABE923" w14:textId="51FFF88C" w:rsidR="00290973" w:rsidRPr="009C2DDC" w:rsidRDefault="00290973" w:rsidP="006978D8">
            <w:pPr>
              <w:spacing w:line="276" w:lineRule="auto"/>
              <w:rPr>
                <w:rFonts w:asciiTheme="majorHAnsi" w:hAnsiTheme="majorHAnsi" w:cstheme="majorHAnsi"/>
                <w:sz w:val="20"/>
                <w:szCs w:val="20"/>
              </w:rPr>
            </w:pPr>
            <w:r w:rsidRPr="009C2DDC">
              <w:rPr>
                <w:rFonts w:asciiTheme="majorHAnsi" w:hAnsiTheme="majorHAnsi" w:cstheme="majorHAnsi"/>
                <w:sz w:val="20"/>
                <w:szCs w:val="20"/>
              </w:rPr>
              <w:t>5</w:t>
            </w:r>
          </w:p>
        </w:tc>
        <w:tc>
          <w:tcPr>
            <w:tcW w:w="0" w:type="dxa"/>
            <w:tcMar>
              <w:top w:w="85" w:type="dxa"/>
              <w:bottom w:w="85" w:type="dxa"/>
            </w:tcMar>
          </w:tcPr>
          <w:p w14:paraId="5D808FA3" w14:textId="77777777"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Shifting the Power Coalition: Pacific Owned, Women-led Early Warning and Resilience (POWER) systems</w:t>
            </w:r>
          </w:p>
          <w:p w14:paraId="2813496A" w14:textId="77777777"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3311374" w14:textId="57E6EA0F"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(ActionAid Australia – YWCA Solomon Islands)</w:t>
            </w:r>
          </w:p>
        </w:tc>
        <w:tc>
          <w:tcPr>
            <w:tcW w:w="0" w:type="dxa"/>
            <w:tcMar>
              <w:top w:w="85" w:type="dxa"/>
              <w:bottom w:w="85" w:type="dxa"/>
            </w:tcMar>
          </w:tcPr>
          <w:p w14:paraId="2CC40D67" w14:textId="3DA0E097"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Shifting the Power Coalition (</w:t>
            </w:r>
            <w:proofErr w:type="spellStart"/>
            <w:r w:rsidRPr="009C2DDC">
              <w:rPr>
                <w:rFonts w:asciiTheme="majorHAnsi" w:hAnsiTheme="majorHAnsi" w:cstheme="majorHAnsi"/>
                <w:sz w:val="20"/>
                <w:szCs w:val="20"/>
              </w:rPr>
              <w:t>StPC</w:t>
            </w:r>
            <w:proofErr w:type="spellEnd"/>
            <w:r w:rsidRPr="009C2DDC">
              <w:rPr>
                <w:rFonts w:asciiTheme="majorHAnsi" w:hAnsiTheme="majorHAnsi" w:cstheme="majorHAnsi"/>
                <w:sz w:val="20"/>
                <w:szCs w:val="20"/>
              </w:rPr>
              <w:t xml:space="preserve">) empowers diverse Pacific women to lead disaster management, humanitarian, and climate action. Through rapid response and core support grants, </w:t>
            </w:r>
            <w:proofErr w:type="spellStart"/>
            <w:r w:rsidRPr="009C2DDC">
              <w:rPr>
                <w:rFonts w:asciiTheme="majorHAnsi" w:hAnsiTheme="majorHAnsi" w:cstheme="majorHAnsi"/>
                <w:sz w:val="20"/>
                <w:szCs w:val="20"/>
              </w:rPr>
              <w:t>StPC</w:t>
            </w:r>
            <w:proofErr w:type="spellEnd"/>
            <w:r w:rsidRPr="009C2DDC">
              <w:rPr>
                <w:rFonts w:asciiTheme="majorHAnsi" w:hAnsiTheme="majorHAnsi" w:cstheme="majorHAnsi"/>
                <w:sz w:val="20"/>
                <w:szCs w:val="20"/>
              </w:rPr>
              <w:t xml:space="preserve"> has enabled women-led networks to drive crisis response, recovery, and advocacy, ensuring inclusive, gender-responsive humanitarian action.</w:t>
            </w:r>
          </w:p>
        </w:tc>
        <w:tc>
          <w:tcPr>
            <w:tcW w:w="0" w:type="dxa"/>
            <w:tcMar>
              <w:top w:w="85" w:type="dxa"/>
              <w:bottom w:w="85" w:type="dxa"/>
            </w:tcMar>
          </w:tcPr>
          <w:p w14:paraId="0D4B8118" w14:textId="0A01AF79"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$532,233</w:t>
            </w:r>
          </w:p>
          <w:p w14:paraId="24A43CD4" w14:textId="77777777"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45CC82E" w14:textId="44673129"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2022–2025</w:t>
            </w:r>
          </w:p>
        </w:tc>
        <w:tc>
          <w:tcPr>
            <w:tcW w:w="0" w:type="dxa"/>
          </w:tcPr>
          <w:p w14:paraId="06787038" w14:textId="216D6241"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Ongoing</w:t>
            </w:r>
          </w:p>
        </w:tc>
      </w:tr>
      <w:tr w:rsidR="00FE6318" w:rsidRPr="007A5A75" w14:paraId="28A1D85F" w14:textId="77777777" w:rsidTr="00491EEE">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73CB9AB8" w14:textId="7EE6BB13" w:rsidR="00290973" w:rsidRPr="009C2DDC" w:rsidRDefault="00290973" w:rsidP="006978D8">
            <w:pPr>
              <w:spacing w:line="276" w:lineRule="auto"/>
              <w:rPr>
                <w:rFonts w:asciiTheme="majorHAnsi" w:hAnsiTheme="majorHAnsi" w:cstheme="majorHAnsi"/>
                <w:sz w:val="20"/>
                <w:szCs w:val="20"/>
              </w:rPr>
            </w:pPr>
            <w:r w:rsidRPr="009C2DDC">
              <w:rPr>
                <w:rFonts w:asciiTheme="majorHAnsi" w:hAnsiTheme="majorHAnsi" w:cstheme="majorHAnsi"/>
                <w:sz w:val="20"/>
                <w:szCs w:val="20"/>
              </w:rPr>
              <w:t>6</w:t>
            </w:r>
          </w:p>
        </w:tc>
        <w:tc>
          <w:tcPr>
            <w:tcW w:w="0" w:type="dxa"/>
            <w:tcMar>
              <w:top w:w="85" w:type="dxa"/>
              <w:bottom w:w="85" w:type="dxa"/>
            </w:tcMar>
          </w:tcPr>
          <w:p w14:paraId="2562FA0A" w14:textId="77777777"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9C2DDC">
              <w:rPr>
                <w:rFonts w:asciiTheme="majorHAnsi" w:hAnsiTheme="majorHAnsi" w:cstheme="majorHAnsi"/>
                <w:sz w:val="20"/>
                <w:szCs w:val="20"/>
                <w:lang w:val="en-US"/>
              </w:rPr>
              <w:t>Strengthening of the women’s movement in Solomon Islands</w:t>
            </w:r>
          </w:p>
          <w:p w14:paraId="611F25DA" w14:textId="77777777"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4FB7CA7" w14:textId="02FBFC55"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(Women’s Right Action Movement)</w:t>
            </w:r>
          </w:p>
        </w:tc>
        <w:tc>
          <w:tcPr>
            <w:tcW w:w="0" w:type="dxa"/>
            <w:tcMar>
              <w:top w:w="85" w:type="dxa"/>
              <w:bottom w:w="85" w:type="dxa"/>
            </w:tcMar>
          </w:tcPr>
          <w:p w14:paraId="1EE9FD98" w14:textId="51F134BE"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9C2DDC">
              <w:rPr>
                <w:rFonts w:asciiTheme="majorHAnsi" w:hAnsiTheme="majorHAnsi" w:cstheme="majorHAnsi"/>
                <w:sz w:val="20"/>
                <w:szCs w:val="20"/>
              </w:rPr>
              <w:t>The project will mentor young women on gender and the law, fostering their leadership through a community of practice. It will also conduct a study examining the connection between violence against women and women's leadership.</w:t>
            </w:r>
          </w:p>
        </w:tc>
        <w:tc>
          <w:tcPr>
            <w:tcW w:w="0" w:type="dxa"/>
            <w:tcMar>
              <w:top w:w="85" w:type="dxa"/>
              <w:bottom w:w="85" w:type="dxa"/>
            </w:tcMar>
          </w:tcPr>
          <w:p w14:paraId="3DDEEE57" w14:textId="77777777"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9C2DDC">
              <w:rPr>
                <w:rFonts w:asciiTheme="majorHAnsi" w:hAnsiTheme="majorHAnsi" w:cstheme="majorHAnsi"/>
                <w:sz w:val="20"/>
                <w:szCs w:val="20"/>
                <w:lang w:val="en-US"/>
              </w:rPr>
              <w:t>$500,000</w:t>
            </w:r>
          </w:p>
          <w:p w14:paraId="2C6A47EA" w14:textId="77777777"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11B26B6A" w14:textId="56ED4E1E"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lang w:val="en-US"/>
              </w:rPr>
              <w:t>2024</w:t>
            </w:r>
            <w:r w:rsidRPr="009C2DDC">
              <w:rPr>
                <w:rFonts w:asciiTheme="majorHAnsi" w:hAnsiTheme="majorHAnsi" w:cstheme="majorHAnsi"/>
                <w:sz w:val="20"/>
                <w:szCs w:val="20"/>
              </w:rPr>
              <w:t>–</w:t>
            </w:r>
            <w:r w:rsidRPr="009C2DDC">
              <w:rPr>
                <w:rFonts w:asciiTheme="majorHAnsi" w:hAnsiTheme="majorHAnsi" w:cstheme="majorHAnsi"/>
                <w:sz w:val="20"/>
                <w:szCs w:val="20"/>
                <w:lang w:val="en-US"/>
              </w:rPr>
              <w:t>2025</w:t>
            </w:r>
          </w:p>
        </w:tc>
        <w:tc>
          <w:tcPr>
            <w:tcW w:w="0" w:type="dxa"/>
          </w:tcPr>
          <w:p w14:paraId="04CF8805" w14:textId="7DB5711F" w:rsidR="00290973" w:rsidRPr="009C2DDC"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Ongoing</w:t>
            </w:r>
          </w:p>
        </w:tc>
      </w:tr>
      <w:tr w:rsidR="006935B5" w:rsidRPr="007A5A75" w14:paraId="253CEF01" w14:textId="77777777" w:rsidTr="00491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397ACA92" w14:textId="6A843983" w:rsidR="00290973" w:rsidRPr="009C2DDC" w:rsidRDefault="00290973" w:rsidP="006978D8">
            <w:pPr>
              <w:spacing w:line="276" w:lineRule="auto"/>
              <w:rPr>
                <w:rFonts w:asciiTheme="majorHAnsi" w:hAnsiTheme="majorHAnsi" w:cstheme="majorHAnsi"/>
                <w:sz w:val="20"/>
                <w:szCs w:val="20"/>
              </w:rPr>
            </w:pPr>
            <w:r w:rsidRPr="009C2DDC">
              <w:rPr>
                <w:rFonts w:asciiTheme="majorHAnsi" w:hAnsiTheme="majorHAnsi" w:cstheme="majorHAnsi"/>
                <w:sz w:val="20"/>
                <w:szCs w:val="20"/>
              </w:rPr>
              <w:t>7</w:t>
            </w:r>
          </w:p>
        </w:tc>
        <w:tc>
          <w:tcPr>
            <w:tcW w:w="0" w:type="dxa"/>
            <w:tcMar>
              <w:top w:w="85" w:type="dxa"/>
              <w:bottom w:w="85" w:type="dxa"/>
            </w:tcMar>
          </w:tcPr>
          <w:p w14:paraId="690813CC" w14:textId="090050BB"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Women-led communities thrive/Women-</w:t>
            </w:r>
            <w:proofErr w:type="spellStart"/>
            <w:r w:rsidRPr="009C2DDC">
              <w:rPr>
                <w:rFonts w:asciiTheme="majorHAnsi" w:hAnsiTheme="majorHAnsi" w:cstheme="majorHAnsi"/>
                <w:sz w:val="20"/>
                <w:szCs w:val="20"/>
              </w:rPr>
              <w:t>ledim</w:t>
            </w:r>
            <w:proofErr w:type="spellEnd"/>
            <w:r w:rsidRPr="009C2DDC">
              <w:rPr>
                <w:rFonts w:asciiTheme="majorHAnsi" w:hAnsiTheme="majorHAnsi" w:cstheme="majorHAnsi"/>
                <w:sz w:val="20"/>
                <w:szCs w:val="20"/>
              </w:rPr>
              <w:t xml:space="preserve">, </w:t>
            </w:r>
            <w:proofErr w:type="spellStart"/>
            <w:r w:rsidRPr="009C2DDC">
              <w:rPr>
                <w:rFonts w:asciiTheme="majorHAnsi" w:hAnsiTheme="majorHAnsi" w:cstheme="majorHAnsi"/>
                <w:sz w:val="20"/>
                <w:szCs w:val="20"/>
              </w:rPr>
              <w:t>komunity-gud</w:t>
            </w:r>
            <w:proofErr w:type="spellEnd"/>
          </w:p>
          <w:p w14:paraId="75EC5DBC" w14:textId="77777777"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6BA13AA" w14:textId="07D4F354"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(Save the Children, Solomon Islands)</w:t>
            </w:r>
          </w:p>
        </w:tc>
        <w:tc>
          <w:tcPr>
            <w:tcW w:w="0" w:type="dxa"/>
            <w:tcMar>
              <w:top w:w="85" w:type="dxa"/>
              <w:bottom w:w="85" w:type="dxa"/>
            </w:tcMar>
          </w:tcPr>
          <w:p w14:paraId="1B912552" w14:textId="61D48F49"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C2DDC">
              <w:rPr>
                <w:rFonts w:asciiTheme="majorHAnsi" w:hAnsiTheme="majorHAnsi" w:cstheme="majorHAnsi"/>
                <w:sz w:val="20"/>
                <w:szCs w:val="20"/>
                <w:lang w:val="en-US"/>
              </w:rPr>
              <w:t>The aim of this project is to empower and support survivors of gender-based violence and promote gender equality in Malaita Province by supporting the Malaita Christian Care Centre Safe House for victims of GBV.</w:t>
            </w:r>
          </w:p>
        </w:tc>
        <w:tc>
          <w:tcPr>
            <w:tcW w:w="0" w:type="dxa"/>
            <w:tcMar>
              <w:top w:w="85" w:type="dxa"/>
              <w:bottom w:w="85" w:type="dxa"/>
            </w:tcMar>
          </w:tcPr>
          <w:p w14:paraId="6A5776E6" w14:textId="34C1ACFF"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C2DDC">
              <w:rPr>
                <w:rFonts w:asciiTheme="majorHAnsi" w:hAnsiTheme="majorHAnsi" w:cstheme="majorHAnsi"/>
                <w:sz w:val="20"/>
                <w:szCs w:val="20"/>
                <w:lang w:val="en-US"/>
              </w:rPr>
              <w:t>$498,725</w:t>
            </w:r>
          </w:p>
          <w:p w14:paraId="387956F5" w14:textId="77777777"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2A5175FC" w14:textId="682DFDE1"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lang w:val="en-US"/>
              </w:rPr>
              <w:t>2024</w:t>
            </w:r>
            <w:r w:rsidRPr="009C2DDC">
              <w:rPr>
                <w:rFonts w:asciiTheme="majorHAnsi" w:hAnsiTheme="majorHAnsi" w:cstheme="majorHAnsi"/>
                <w:sz w:val="20"/>
                <w:szCs w:val="20"/>
              </w:rPr>
              <w:t>–</w:t>
            </w:r>
            <w:r w:rsidRPr="009C2DDC">
              <w:rPr>
                <w:rFonts w:asciiTheme="majorHAnsi" w:hAnsiTheme="majorHAnsi" w:cstheme="majorHAnsi"/>
                <w:sz w:val="20"/>
                <w:szCs w:val="20"/>
                <w:lang w:val="en-US"/>
              </w:rPr>
              <w:t>2025</w:t>
            </w:r>
          </w:p>
        </w:tc>
        <w:tc>
          <w:tcPr>
            <w:tcW w:w="0" w:type="dxa"/>
          </w:tcPr>
          <w:p w14:paraId="12280B0F" w14:textId="4A661508" w:rsidR="00290973" w:rsidRPr="009C2DD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Ongoing</w:t>
            </w:r>
          </w:p>
        </w:tc>
      </w:tr>
      <w:tr w:rsidR="00FE6318" w:rsidRPr="002650F2" w14:paraId="019AFC2F" w14:textId="77777777" w:rsidTr="00FE6318">
        <w:tc>
          <w:tcPr>
            <w:cnfStyle w:val="001000000000" w:firstRow="0" w:lastRow="0" w:firstColumn="1" w:lastColumn="0" w:oddVBand="0" w:evenVBand="0" w:oddHBand="0" w:evenHBand="0" w:firstRowFirstColumn="0" w:firstRowLastColumn="0" w:lastRowFirstColumn="0" w:lastRowLastColumn="0"/>
            <w:tcW w:w="653" w:type="dxa"/>
            <w:tcMar>
              <w:top w:w="85" w:type="dxa"/>
              <w:bottom w:w="85" w:type="dxa"/>
            </w:tcMar>
          </w:tcPr>
          <w:p w14:paraId="02514C05" w14:textId="081A56F0" w:rsidR="00290973" w:rsidRPr="002650F2" w:rsidRDefault="00290973" w:rsidP="006978D8">
            <w:pPr>
              <w:spacing w:line="276" w:lineRule="auto"/>
              <w:rPr>
                <w:rFonts w:asciiTheme="majorHAnsi" w:hAnsiTheme="majorHAnsi" w:cstheme="majorHAnsi"/>
                <w:sz w:val="20"/>
                <w:szCs w:val="20"/>
              </w:rPr>
            </w:pPr>
            <w:r>
              <w:rPr>
                <w:rFonts w:asciiTheme="majorHAnsi" w:hAnsiTheme="majorHAnsi" w:cstheme="majorHAnsi"/>
                <w:sz w:val="20"/>
                <w:szCs w:val="20"/>
              </w:rPr>
              <w:t>8</w:t>
            </w:r>
          </w:p>
        </w:tc>
        <w:tc>
          <w:tcPr>
            <w:tcW w:w="2726" w:type="dxa"/>
            <w:tcMar>
              <w:top w:w="85" w:type="dxa"/>
              <w:bottom w:w="85" w:type="dxa"/>
            </w:tcMar>
          </w:tcPr>
          <w:p w14:paraId="1B4419E3" w14:textId="5C3104A4" w:rsidR="00290973"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008EC">
              <w:rPr>
                <w:rFonts w:asciiTheme="majorHAnsi" w:hAnsiTheme="majorHAnsi" w:cstheme="majorHAnsi"/>
                <w:sz w:val="20"/>
                <w:szCs w:val="20"/>
              </w:rPr>
              <w:t>Reali</w:t>
            </w:r>
            <w:r w:rsidR="00C34CAD">
              <w:rPr>
                <w:rFonts w:asciiTheme="majorHAnsi" w:hAnsiTheme="majorHAnsi" w:cstheme="majorHAnsi"/>
                <w:sz w:val="20"/>
                <w:szCs w:val="20"/>
              </w:rPr>
              <w:t>s</w:t>
            </w:r>
            <w:r w:rsidRPr="000008EC">
              <w:rPr>
                <w:rFonts w:asciiTheme="majorHAnsi" w:hAnsiTheme="majorHAnsi" w:cstheme="majorHAnsi"/>
                <w:sz w:val="20"/>
                <w:szCs w:val="20"/>
              </w:rPr>
              <w:t>ing Women’s Rights and to Increase the Effectiveness of Gender Equality in Melanesian Spearhead Group (MSG)</w:t>
            </w:r>
          </w:p>
          <w:p w14:paraId="3D190922" w14:textId="77777777" w:rsidR="00290973"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3DDFED0" w14:textId="6C77E150" w:rsidR="00290973" w:rsidRPr="002650F2"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Pr="000008EC">
              <w:rPr>
                <w:rFonts w:asciiTheme="majorHAnsi" w:hAnsiTheme="majorHAnsi" w:cstheme="majorHAnsi"/>
                <w:sz w:val="20"/>
                <w:szCs w:val="20"/>
              </w:rPr>
              <w:t>Melanesian Spearhead Group</w:t>
            </w:r>
            <w:r>
              <w:rPr>
                <w:rFonts w:asciiTheme="majorHAnsi" w:hAnsiTheme="majorHAnsi" w:cstheme="majorHAnsi"/>
                <w:sz w:val="20"/>
                <w:szCs w:val="20"/>
              </w:rPr>
              <w:t>)</w:t>
            </w:r>
          </w:p>
        </w:tc>
        <w:tc>
          <w:tcPr>
            <w:tcW w:w="3646" w:type="dxa"/>
            <w:tcMar>
              <w:top w:w="85" w:type="dxa"/>
              <w:bottom w:w="85" w:type="dxa"/>
            </w:tcMar>
          </w:tcPr>
          <w:p w14:paraId="76851E5E" w14:textId="3F45AAA6" w:rsidR="00290973" w:rsidRPr="002650F2"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A707C6">
              <w:rPr>
                <w:rFonts w:asciiTheme="majorHAnsi" w:hAnsiTheme="majorHAnsi" w:cstheme="majorHAnsi"/>
                <w:sz w:val="20"/>
                <w:szCs w:val="20"/>
                <w:lang w:val="en-US"/>
              </w:rPr>
              <w:t>The Project supports the recruitment of a GESI Adviser, Research Officers in Solomon Islands and Vanuatu for women MPs and works in advancing women’s economic empowerment through trade</w:t>
            </w:r>
            <w:r>
              <w:rPr>
                <w:rFonts w:asciiTheme="majorHAnsi" w:hAnsiTheme="majorHAnsi" w:cstheme="majorHAnsi"/>
                <w:sz w:val="20"/>
                <w:szCs w:val="20"/>
                <w:lang w:val="en-US"/>
              </w:rPr>
              <w:t>,</w:t>
            </w:r>
            <w:r w:rsidRPr="00A707C6">
              <w:rPr>
                <w:rFonts w:asciiTheme="majorHAnsi" w:hAnsiTheme="majorHAnsi" w:cstheme="majorHAnsi"/>
                <w:sz w:val="20"/>
                <w:szCs w:val="20"/>
                <w:lang w:val="en-US"/>
              </w:rPr>
              <w:t xml:space="preserve"> value chain training and </w:t>
            </w:r>
            <w:r w:rsidRPr="00B910D6">
              <w:rPr>
                <w:rFonts w:asciiTheme="majorHAnsi" w:hAnsiTheme="majorHAnsi" w:cstheme="majorHAnsi"/>
                <w:sz w:val="20"/>
                <w:szCs w:val="20"/>
                <w:lang w:val="en-US"/>
              </w:rPr>
              <w:t>market</w:t>
            </w:r>
            <w:r>
              <w:rPr>
                <w:rFonts w:asciiTheme="majorHAnsi" w:hAnsiTheme="majorHAnsi" w:cstheme="majorHAnsi"/>
                <w:sz w:val="20"/>
                <w:szCs w:val="20"/>
                <w:lang w:val="en-US"/>
              </w:rPr>
              <w:t>’s</w:t>
            </w:r>
            <w:r w:rsidRPr="00B910D6">
              <w:rPr>
                <w:rFonts w:asciiTheme="majorHAnsi" w:hAnsiTheme="majorHAnsi" w:cstheme="majorHAnsi"/>
                <w:sz w:val="20"/>
                <w:szCs w:val="20"/>
                <w:lang w:val="en-US"/>
              </w:rPr>
              <w:t xml:space="preserve"> </w:t>
            </w:r>
            <w:r w:rsidRPr="00A707C6">
              <w:rPr>
                <w:rFonts w:asciiTheme="majorHAnsi" w:hAnsiTheme="majorHAnsi" w:cstheme="majorHAnsi"/>
                <w:sz w:val="20"/>
                <w:szCs w:val="20"/>
                <w:lang w:val="en-US"/>
              </w:rPr>
              <w:t xml:space="preserve">initiative. It also works to </w:t>
            </w:r>
            <w:proofErr w:type="spellStart"/>
            <w:r w:rsidRPr="00165881">
              <w:rPr>
                <w:rFonts w:asciiTheme="majorHAnsi" w:hAnsiTheme="majorHAnsi" w:cstheme="majorHAnsi"/>
                <w:sz w:val="20"/>
                <w:szCs w:val="20"/>
                <w:lang w:val="en-US"/>
              </w:rPr>
              <w:t>finali</w:t>
            </w:r>
            <w:r w:rsidR="00C34CAD">
              <w:rPr>
                <w:rFonts w:asciiTheme="majorHAnsi" w:hAnsiTheme="majorHAnsi" w:cstheme="majorHAnsi"/>
                <w:sz w:val="20"/>
                <w:szCs w:val="20"/>
                <w:lang w:val="en-US"/>
              </w:rPr>
              <w:t>s</w:t>
            </w:r>
            <w:r w:rsidRPr="00165881">
              <w:rPr>
                <w:rFonts w:asciiTheme="majorHAnsi" w:hAnsiTheme="majorHAnsi" w:cstheme="majorHAnsi"/>
                <w:sz w:val="20"/>
                <w:szCs w:val="20"/>
                <w:lang w:val="en-US"/>
              </w:rPr>
              <w:t>e</w:t>
            </w:r>
            <w:proofErr w:type="spellEnd"/>
            <w:r w:rsidRPr="00165881">
              <w:rPr>
                <w:rFonts w:asciiTheme="majorHAnsi" w:hAnsiTheme="majorHAnsi" w:cstheme="majorHAnsi"/>
                <w:sz w:val="20"/>
                <w:szCs w:val="20"/>
                <w:lang w:val="en-US"/>
              </w:rPr>
              <w:t xml:space="preserve"> </w:t>
            </w:r>
            <w:r w:rsidRPr="00A707C6">
              <w:rPr>
                <w:rFonts w:asciiTheme="majorHAnsi" w:hAnsiTheme="majorHAnsi" w:cstheme="majorHAnsi"/>
                <w:sz w:val="20"/>
                <w:szCs w:val="20"/>
                <w:lang w:val="en-US"/>
              </w:rPr>
              <w:t>the MSG GESI Policy.</w:t>
            </w:r>
          </w:p>
        </w:tc>
        <w:tc>
          <w:tcPr>
            <w:tcW w:w="1435" w:type="dxa"/>
            <w:tcMar>
              <w:top w:w="85" w:type="dxa"/>
              <w:bottom w:w="85" w:type="dxa"/>
            </w:tcMar>
          </w:tcPr>
          <w:p w14:paraId="76A1C18F" w14:textId="77777777" w:rsidR="00290973" w:rsidRPr="00A707C6"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A707C6">
              <w:rPr>
                <w:rFonts w:asciiTheme="majorHAnsi" w:hAnsiTheme="majorHAnsi" w:cstheme="majorHAnsi"/>
                <w:sz w:val="20"/>
                <w:szCs w:val="20"/>
                <w:lang w:val="en-US"/>
              </w:rPr>
              <w:t xml:space="preserve">$402,000 </w:t>
            </w:r>
          </w:p>
          <w:p w14:paraId="368B6F81" w14:textId="77777777" w:rsidR="00290973" w:rsidRPr="00A707C6"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6BEB04CE" w14:textId="1E4178B7" w:rsidR="00290973" w:rsidRPr="002650F2"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A707C6">
              <w:rPr>
                <w:rFonts w:asciiTheme="majorHAnsi" w:hAnsiTheme="majorHAnsi" w:cstheme="majorHAnsi"/>
                <w:sz w:val="20"/>
                <w:szCs w:val="20"/>
                <w:lang w:val="en-US"/>
              </w:rPr>
              <w:t>2024 – 2025</w:t>
            </w:r>
          </w:p>
        </w:tc>
        <w:tc>
          <w:tcPr>
            <w:tcW w:w="1169" w:type="dxa"/>
          </w:tcPr>
          <w:p w14:paraId="32244FE4" w14:textId="50C0B795" w:rsidR="00290973" w:rsidRPr="002650F2" w:rsidRDefault="0029097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707C6">
              <w:rPr>
                <w:rFonts w:asciiTheme="majorHAnsi" w:eastAsia="Times New Roman" w:hAnsiTheme="majorHAnsi" w:cstheme="majorHAnsi"/>
                <w:color w:val="000000" w:themeColor="text1"/>
                <w:sz w:val="20"/>
                <w:szCs w:val="20"/>
                <w:lang w:val="en-US"/>
              </w:rPr>
              <w:t xml:space="preserve">Ongoing </w:t>
            </w:r>
          </w:p>
        </w:tc>
      </w:tr>
      <w:tr w:rsidR="00FE6318" w:rsidRPr="002650F2" w14:paraId="2BD9CDA7" w14:textId="77777777" w:rsidTr="00FE6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 w:type="dxa"/>
            <w:tcMar>
              <w:top w:w="85" w:type="dxa"/>
              <w:bottom w:w="85" w:type="dxa"/>
            </w:tcMar>
          </w:tcPr>
          <w:p w14:paraId="0F4C64B5" w14:textId="41FC2305" w:rsidR="00290973" w:rsidRDefault="00290973" w:rsidP="006978D8">
            <w:pPr>
              <w:spacing w:line="276" w:lineRule="auto"/>
              <w:rPr>
                <w:rFonts w:asciiTheme="majorHAnsi" w:hAnsiTheme="majorHAnsi" w:cstheme="majorHAnsi"/>
                <w:sz w:val="20"/>
                <w:szCs w:val="20"/>
              </w:rPr>
            </w:pPr>
            <w:r>
              <w:rPr>
                <w:rFonts w:asciiTheme="majorHAnsi" w:hAnsiTheme="majorHAnsi" w:cstheme="majorHAnsi"/>
                <w:sz w:val="20"/>
                <w:szCs w:val="20"/>
              </w:rPr>
              <w:t>9</w:t>
            </w:r>
          </w:p>
        </w:tc>
        <w:tc>
          <w:tcPr>
            <w:tcW w:w="2726" w:type="dxa"/>
            <w:tcMar>
              <w:top w:w="85" w:type="dxa"/>
              <w:bottom w:w="85" w:type="dxa"/>
            </w:tcMar>
          </w:tcPr>
          <w:p w14:paraId="79914AEF" w14:textId="77777777" w:rsidR="00290973" w:rsidRPr="00A707C6"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A707C6">
              <w:rPr>
                <w:rFonts w:asciiTheme="majorHAnsi" w:hAnsiTheme="majorHAnsi" w:cstheme="majorHAnsi"/>
                <w:sz w:val="20"/>
                <w:szCs w:val="20"/>
                <w:lang w:val="en-US"/>
              </w:rPr>
              <w:t>Strengthening Pacific Women’s Right to Safety and Access to Health through Survivor-</w:t>
            </w:r>
            <w:r>
              <w:rPr>
                <w:rFonts w:asciiTheme="majorHAnsi" w:hAnsiTheme="majorHAnsi" w:cstheme="majorHAnsi"/>
                <w:sz w:val="20"/>
                <w:szCs w:val="20"/>
                <w:lang w:val="en-US"/>
              </w:rPr>
              <w:t>C</w:t>
            </w:r>
            <w:r w:rsidRPr="009C77F7">
              <w:rPr>
                <w:rFonts w:asciiTheme="majorHAnsi" w:hAnsiTheme="majorHAnsi" w:cstheme="majorHAnsi"/>
                <w:sz w:val="20"/>
                <w:szCs w:val="20"/>
                <w:lang w:val="en-US"/>
              </w:rPr>
              <w:t xml:space="preserve">entered and Evidence-Based </w:t>
            </w:r>
            <w:r>
              <w:rPr>
                <w:rFonts w:asciiTheme="majorHAnsi" w:hAnsiTheme="majorHAnsi" w:cstheme="majorHAnsi"/>
                <w:sz w:val="20"/>
                <w:szCs w:val="20"/>
                <w:lang w:val="en-US"/>
              </w:rPr>
              <w:t>A</w:t>
            </w:r>
            <w:r w:rsidRPr="00A707C6">
              <w:rPr>
                <w:rFonts w:asciiTheme="majorHAnsi" w:hAnsiTheme="majorHAnsi" w:cstheme="majorHAnsi"/>
                <w:sz w:val="20"/>
                <w:szCs w:val="20"/>
                <w:lang w:val="en-US"/>
              </w:rPr>
              <w:t>pproaches</w:t>
            </w:r>
          </w:p>
          <w:p w14:paraId="55F4BDBE" w14:textId="77777777" w:rsidR="00290973" w:rsidRPr="00A707C6"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00C01BEB" w14:textId="291FF2DF" w:rsidR="00290973" w:rsidRPr="000008EC"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707C6">
              <w:rPr>
                <w:rFonts w:asciiTheme="majorHAnsi" w:hAnsiTheme="majorHAnsi" w:cstheme="majorHAnsi"/>
                <w:sz w:val="20"/>
                <w:szCs w:val="20"/>
                <w:lang w:val="en-US"/>
              </w:rPr>
              <w:t>(Fiji National University)</w:t>
            </w:r>
          </w:p>
        </w:tc>
        <w:tc>
          <w:tcPr>
            <w:tcW w:w="3646" w:type="dxa"/>
            <w:tcMar>
              <w:top w:w="85" w:type="dxa"/>
              <w:bottom w:w="85" w:type="dxa"/>
            </w:tcMar>
          </w:tcPr>
          <w:p w14:paraId="64FBC7A2" w14:textId="49B52E7A" w:rsidR="00290973" w:rsidRPr="00A707C6"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Theme="majorHAnsi" w:hAnsiTheme="majorHAnsi" w:cstheme="majorHAnsi"/>
                <w:sz w:val="20"/>
                <w:szCs w:val="20"/>
                <w:lang w:val="en-US"/>
              </w:rPr>
              <w:t xml:space="preserve">The project will undertake a </w:t>
            </w:r>
            <w:r w:rsidRPr="00A707C6">
              <w:rPr>
                <w:rFonts w:asciiTheme="majorHAnsi" w:hAnsiTheme="majorHAnsi" w:cstheme="majorHAnsi"/>
                <w:sz w:val="20"/>
                <w:szCs w:val="20"/>
                <w:lang w:val="en-US"/>
              </w:rPr>
              <w:t xml:space="preserve">situation analysis and research </w:t>
            </w:r>
            <w:r>
              <w:rPr>
                <w:rFonts w:asciiTheme="majorHAnsi" w:hAnsiTheme="majorHAnsi" w:cstheme="majorHAnsi"/>
                <w:sz w:val="20"/>
                <w:szCs w:val="20"/>
                <w:lang w:val="en-US"/>
              </w:rPr>
              <w:t>to</w:t>
            </w:r>
            <w:r w:rsidRPr="00A707C6">
              <w:rPr>
                <w:rFonts w:asciiTheme="majorHAnsi" w:hAnsiTheme="majorHAnsi" w:cstheme="majorHAnsi"/>
                <w:sz w:val="20"/>
                <w:szCs w:val="20"/>
                <w:lang w:val="en-US"/>
              </w:rPr>
              <w:t xml:space="preserve"> review existing strengths, weaknesses, resources and opportunities, for national response to GBV in terms of health policies and programs in Fiji, Kiribati, Solomon Islands and Samoa.</w:t>
            </w:r>
          </w:p>
        </w:tc>
        <w:tc>
          <w:tcPr>
            <w:tcW w:w="1435" w:type="dxa"/>
            <w:tcMar>
              <w:top w:w="85" w:type="dxa"/>
              <w:bottom w:w="85" w:type="dxa"/>
            </w:tcMar>
          </w:tcPr>
          <w:p w14:paraId="7357DE3B" w14:textId="77777777" w:rsidR="00290973" w:rsidRPr="00A707C6"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A707C6">
              <w:rPr>
                <w:rFonts w:asciiTheme="majorHAnsi" w:hAnsiTheme="majorHAnsi" w:cstheme="majorHAnsi"/>
                <w:sz w:val="20"/>
                <w:szCs w:val="20"/>
                <w:lang w:val="en-US"/>
              </w:rPr>
              <w:t xml:space="preserve">$500,000 </w:t>
            </w:r>
          </w:p>
          <w:p w14:paraId="0CF56583" w14:textId="77777777" w:rsidR="00290973" w:rsidRPr="00A707C6"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2A2673B6" w14:textId="3D44119B" w:rsidR="00290973" w:rsidRPr="00A707C6"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A707C6">
              <w:rPr>
                <w:rFonts w:asciiTheme="majorHAnsi" w:hAnsiTheme="majorHAnsi" w:cstheme="majorHAnsi"/>
                <w:sz w:val="20"/>
                <w:szCs w:val="20"/>
                <w:lang w:val="en-US"/>
              </w:rPr>
              <w:t>2024 - 2025</w:t>
            </w:r>
          </w:p>
        </w:tc>
        <w:tc>
          <w:tcPr>
            <w:tcW w:w="1169" w:type="dxa"/>
          </w:tcPr>
          <w:p w14:paraId="2031D49A" w14:textId="776437EE" w:rsidR="00290973" w:rsidRPr="00A707C6" w:rsidRDefault="0029097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20"/>
                <w:szCs w:val="20"/>
                <w:lang w:val="en-US"/>
              </w:rPr>
            </w:pPr>
            <w:r w:rsidRPr="00A707C6">
              <w:rPr>
                <w:rFonts w:asciiTheme="majorHAnsi" w:eastAsia="Times New Roman" w:hAnsiTheme="majorHAnsi" w:cstheme="majorHAnsi"/>
                <w:color w:val="000000" w:themeColor="text1"/>
                <w:sz w:val="20"/>
                <w:szCs w:val="20"/>
                <w:lang w:val="en-US"/>
              </w:rPr>
              <w:t>Ongoing</w:t>
            </w:r>
          </w:p>
        </w:tc>
      </w:tr>
    </w:tbl>
    <w:p w14:paraId="71D69005" w14:textId="5E166EF6" w:rsidR="00E34E37" w:rsidRPr="009C2DDC" w:rsidRDefault="00E34E37" w:rsidP="006978D8">
      <w:pPr>
        <w:pStyle w:val="Heading2"/>
        <w:ind w:hanging="993"/>
        <w:rPr>
          <w:rFonts w:asciiTheme="majorHAnsi" w:hAnsiTheme="majorHAnsi" w:cstheme="majorHAnsi"/>
        </w:rPr>
      </w:pPr>
      <w:bookmarkStart w:id="15" w:name="_Toc208711162"/>
      <w:r w:rsidRPr="009C2DDC">
        <w:rPr>
          <w:rFonts w:asciiTheme="majorHAnsi" w:hAnsiTheme="majorHAnsi" w:cstheme="majorHAnsi"/>
        </w:rPr>
        <w:lastRenderedPageBreak/>
        <w:t>P</w:t>
      </w:r>
      <w:r w:rsidR="0074253B" w:rsidRPr="009C2DDC">
        <w:rPr>
          <w:rFonts w:asciiTheme="majorHAnsi" w:hAnsiTheme="majorHAnsi" w:cstheme="majorHAnsi"/>
        </w:rPr>
        <w:t xml:space="preserve">acific Women Lead </w:t>
      </w:r>
      <w:r w:rsidRPr="009C2DDC">
        <w:rPr>
          <w:rFonts w:asciiTheme="majorHAnsi" w:hAnsiTheme="majorHAnsi" w:cstheme="majorHAnsi"/>
        </w:rPr>
        <w:t>Governance Board</w:t>
      </w:r>
      <w:bookmarkEnd w:id="15"/>
      <w:r w:rsidRPr="009C2DDC">
        <w:rPr>
          <w:rFonts w:asciiTheme="majorHAnsi" w:hAnsiTheme="majorHAnsi" w:cstheme="majorHAnsi"/>
        </w:rPr>
        <w:t xml:space="preserve"> </w:t>
      </w:r>
    </w:p>
    <w:p w14:paraId="25679FE3" w14:textId="77777777" w:rsidR="00185699" w:rsidRPr="004D18FB" w:rsidRDefault="00185699" w:rsidP="006978D8">
      <w:pPr>
        <w:spacing w:line="276" w:lineRule="auto"/>
        <w:jc w:val="left"/>
        <w:rPr>
          <w:rFonts w:asciiTheme="majorHAnsi" w:hAnsiTheme="majorHAnsi" w:cstheme="majorHAnsi"/>
          <w:sz w:val="20"/>
          <w:szCs w:val="20"/>
        </w:rPr>
      </w:pPr>
      <w:bookmarkStart w:id="16" w:name="_Toc185938067"/>
      <w:bookmarkStart w:id="17" w:name="_Hlk185812587"/>
      <w:r w:rsidRPr="004D18FB">
        <w:rPr>
          <w:rFonts w:asciiTheme="majorHAnsi" w:hAnsiTheme="majorHAnsi" w:cstheme="majorHAnsi"/>
          <w:sz w:val="20"/>
          <w:szCs w:val="20"/>
        </w:rPr>
        <w:t>The PWL Governance Board comprises 13 members, 12 of whom are from the Pacific region. DFAT’s Assistant Secretary of the Pacific Development Branch serves as an ex-officio member of the Board.</w:t>
      </w:r>
    </w:p>
    <w:p w14:paraId="2B37E4A4" w14:textId="77777777" w:rsidR="00C34CAD" w:rsidRDefault="000C6216" w:rsidP="006978D8">
      <w:pPr>
        <w:pStyle w:val="BodyText"/>
        <w:rPr>
          <w:rFonts w:asciiTheme="majorHAnsi" w:hAnsiTheme="majorHAnsi" w:cstheme="majorHAnsi"/>
          <w:szCs w:val="20"/>
        </w:rPr>
      </w:pPr>
      <w:r w:rsidRPr="007834A2">
        <w:rPr>
          <w:rStyle w:val="scxw179894605"/>
          <w:rFonts w:asciiTheme="majorHAnsi" w:hAnsiTheme="majorHAnsi" w:cstheme="majorHAnsi"/>
          <w:noProof/>
          <w:szCs w:val="20"/>
        </w:rPr>
        <w:drawing>
          <wp:inline distT="0" distB="0" distL="0" distR="0" wp14:anchorId="1B4558E2" wp14:editId="71465089">
            <wp:extent cx="1160780" cy="1219200"/>
            <wp:effectExtent l="19050" t="19050" r="20320" b="19050"/>
            <wp:docPr id="834842072" name="Picture 8" descr="A photo of PWL Governance Board m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42072" name="Picture 8" descr="A photo of PWL Governance Board memb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0780" cy="1219200"/>
                    </a:xfrm>
                    <a:prstGeom prst="rect">
                      <a:avLst/>
                    </a:prstGeom>
                    <a:noFill/>
                    <a:ln>
                      <a:solidFill>
                        <a:sysClr val="windowText" lastClr="000000"/>
                      </a:solidFill>
                    </a:ln>
                  </pic:spPr>
                </pic:pic>
              </a:graphicData>
            </a:graphic>
          </wp:inline>
        </w:drawing>
      </w:r>
    </w:p>
    <w:p w14:paraId="6EF955F6" w14:textId="2541C1A7" w:rsidR="00185699" w:rsidRDefault="00185699" w:rsidP="006978D8">
      <w:pPr>
        <w:pStyle w:val="BodyText"/>
        <w:rPr>
          <w:rFonts w:asciiTheme="majorHAnsi" w:hAnsiTheme="majorHAnsi" w:cstheme="majorHAnsi"/>
          <w:szCs w:val="20"/>
        </w:rPr>
      </w:pPr>
      <w:r w:rsidRPr="00185699">
        <w:rPr>
          <w:rFonts w:asciiTheme="majorHAnsi" w:hAnsiTheme="majorHAnsi" w:cstheme="majorHAnsi"/>
          <w:szCs w:val="20"/>
        </w:rPr>
        <w:t xml:space="preserve">Ethel </w:t>
      </w:r>
      <w:proofErr w:type="spellStart"/>
      <w:r w:rsidRPr="00185699">
        <w:rPr>
          <w:rFonts w:asciiTheme="majorHAnsi" w:hAnsiTheme="majorHAnsi" w:cstheme="majorHAnsi"/>
          <w:szCs w:val="20"/>
        </w:rPr>
        <w:t>Sigimanu</w:t>
      </w:r>
      <w:proofErr w:type="spellEnd"/>
      <w:r w:rsidRPr="00185699">
        <w:rPr>
          <w:rFonts w:asciiTheme="majorHAnsi" w:hAnsiTheme="majorHAnsi" w:cstheme="majorHAnsi"/>
          <w:szCs w:val="20"/>
        </w:rPr>
        <w:t xml:space="preserve"> is the Solomon Islands representative on the PWL Governance Board and a longstanding advocate for gender equality and women’s rights. She served as a permanent secretary for 17 years, including 10 years at the Ministry of Women, where she played a key role in the passage of the Family Protection Act 2014 and the Child and Family Welfare Act 2017. Recogni</w:t>
      </w:r>
      <w:r w:rsidR="00C34CAD">
        <w:rPr>
          <w:rFonts w:asciiTheme="majorHAnsi" w:hAnsiTheme="majorHAnsi" w:cstheme="majorHAnsi"/>
          <w:szCs w:val="20"/>
        </w:rPr>
        <w:t>s</w:t>
      </w:r>
      <w:r w:rsidRPr="00185699">
        <w:rPr>
          <w:rFonts w:asciiTheme="majorHAnsi" w:hAnsiTheme="majorHAnsi" w:cstheme="majorHAnsi"/>
          <w:szCs w:val="20"/>
        </w:rPr>
        <w:t>ed with the 2019 Women of Courage Award, she continues to champion gender and human rights as a consultant and serves on national and regional boards in the social services sector.</w:t>
      </w:r>
    </w:p>
    <w:p w14:paraId="39F9877F" w14:textId="4941A4E7" w:rsidR="00C02294" w:rsidRPr="00076AE8" w:rsidRDefault="6F86513E" w:rsidP="006978D8">
      <w:pPr>
        <w:pStyle w:val="BodyText"/>
      </w:pPr>
      <w:r w:rsidRPr="6643C3DA">
        <w:rPr>
          <w:rFonts w:asciiTheme="majorHAnsi" w:hAnsiTheme="majorHAnsi" w:cstheme="majorBidi"/>
        </w:rPr>
        <w:t>The Board has a $5 million discretionary fund for projects that it can use to add value to and build on existing PWL activities.</w:t>
      </w:r>
      <w:r>
        <w:t xml:space="preserve"> </w:t>
      </w:r>
      <w:r w:rsidR="190059C0" w:rsidRPr="6643C3DA">
        <w:rPr>
          <w:rFonts w:asciiTheme="majorHAnsi" w:hAnsiTheme="majorHAnsi" w:cstheme="majorBidi"/>
        </w:rPr>
        <w:t xml:space="preserve">To date, </w:t>
      </w:r>
      <w:r w:rsidR="2F9FC9A7" w:rsidRPr="001060C4">
        <w:rPr>
          <w:rFonts w:ascii="Arial" w:eastAsia="Arial" w:hAnsi="Arial" w:cs="Arial"/>
          <w:szCs w:val="20"/>
        </w:rPr>
        <w:t>the Board funds 1 downstream implementing partner to implement 1 ongoing project in Solomon Islands</w:t>
      </w:r>
      <w:r w:rsidR="2F9FC9A7" w:rsidRPr="001060C4">
        <w:rPr>
          <w:rFonts w:ascii="Arial" w:eastAsia="Arial" w:hAnsi="Arial" w:cs="Arial"/>
          <w:strike/>
          <w:szCs w:val="20"/>
        </w:rPr>
        <w:t>.</w:t>
      </w:r>
    </w:p>
    <w:p w14:paraId="097DC3D0" w14:textId="23A71B0B" w:rsidR="002D11BE" w:rsidRPr="009C2DDC" w:rsidRDefault="46BBDF52" w:rsidP="006978D8">
      <w:pPr>
        <w:pStyle w:val="BodyText"/>
        <w:rPr>
          <w:rFonts w:asciiTheme="majorHAnsi" w:hAnsiTheme="majorHAnsi" w:cstheme="majorBidi"/>
          <w:b/>
          <w:bCs/>
        </w:rPr>
      </w:pPr>
      <w:r w:rsidRPr="009C2DDC">
        <w:rPr>
          <w:rFonts w:asciiTheme="majorHAnsi" w:hAnsiTheme="majorHAnsi" w:cstheme="majorBidi"/>
          <w:b/>
          <w:bCs/>
        </w:rPr>
        <w:t>Table 3: PWL</w:t>
      </w:r>
      <w:r w:rsidR="25AAD019" w:rsidRPr="6643C3DA">
        <w:rPr>
          <w:rFonts w:asciiTheme="majorHAnsi" w:hAnsiTheme="majorHAnsi" w:cstheme="majorBidi"/>
          <w:b/>
          <w:bCs/>
        </w:rPr>
        <w:t xml:space="preserve"> </w:t>
      </w:r>
      <w:r w:rsidRPr="009C2DDC">
        <w:rPr>
          <w:rFonts w:asciiTheme="majorHAnsi" w:hAnsiTheme="majorHAnsi" w:cstheme="majorBidi"/>
          <w:b/>
          <w:bCs/>
        </w:rPr>
        <w:t>Governance Board grant</w:t>
      </w:r>
      <w:r w:rsidR="00B10CF8" w:rsidRPr="6643C3DA">
        <w:rPr>
          <w:rFonts w:asciiTheme="majorHAnsi" w:hAnsiTheme="majorHAnsi" w:cstheme="majorBidi"/>
          <w:b/>
          <w:bCs/>
        </w:rPr>
        <w:t xml:space="preserve"> in Solomon Islands</w:t>
      </w:r>
      <w:r w:rsidRPr="009C2DDC">
        <w:rPr>
          <w:rFonts w:asciiTheme="majorHAnsi" w:hAnsiTheme="majorHAnsi" w:cstheme="majorBidi"/>
          <w:b/>
          <w:bCs/>
        </w:rPr>
        <w:t xml:space="preserve"> as of 31 August 2025</w:t>
      </w:r>
    </w:p>
    <w:tbl>
      <w:tblPr>
        <w:tblStyle w:val="PlainTable2"/>
        <w:tblW w:w="985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9"/>
        <w:gridCol w:w="2513"/>
        <w:gridCol w:w="3176"/>
        <w:gridCol w:w="1948"/>
        <w:gridCol w:w="1591"/>
      </w:tblGrid>
      <w:tr w:rsidR="006E3666" w:rsidRPr="00846EE2" w14:paraId="1A7A613C" w14:textId="77777777" w:rsidTr="009C2DDC">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629" w:type="dxa"/>
            <w:shd w:val="clear" w:color="auto" w:fill="006699"/>
            <w:tcMar>
              <w:top w:w="85" w:type="dxa"/>
              <w:bottom w:w="85" w:type="dxa"/>
            </w:tcMar>
            <w:vAlign w:val="center"/>
          </w:tcPr>
          <w:p w14:paraId="65BBAA94" w14:textId="77777777" w:rsidR="00C054AF" w:rsidRPr="00846EE2" w:rsidRDefault="00C054AF" w:rsidP="006978D8">
            <w:pPr>
              <w:spacing w:line="276" w:lineRule="auto"/>
              <w:rPr>
                <w:rFonts w:ascii="Arial" w:hAnsi="Arial" w:cs="Arial"/>
                <w:b w:val="0"/>
                <w:bCs w:val="0"/>
                <w:color w:val="FFFFFF" w:themeColor="background1"/>
                <w:sz w:val="20"/>
                <w:szCs w:val="20"/>
              </w:rPr>
            </w:pPr>
            <w:r w:rsidRPr="00846EE2">
              <w:rPr>
                <w:rFonts w:ascii="Arial" w:hAnsi="Arial" w:cs="Arial"/>
                <w:color w:val="FFFFFF" w:themeColor="background1"/>
                <w:sz w:val="20"/>
                <w:szCs w:val="20"/>
              </w:rPr>
              <w:t>No.</w:t>
            </w:r>
          </w:p>
        </w:tc>
        <w:tc>
          <w:tcPr>
            <w:tcW w:w="2513" w:type="dxa"/>
            <w:tcBorders>
              <w:bottom w:val="single" w:sz="4" w:space="0" w:color="auto"/>
            </w:tcBorders>
            <w:shd w:val="clear" w:color="auto" w:fill="006699"/>
            <w:tcMar>
              <w:top w:w="85" w:type="dxa"/>
              <w:bottom w:w="85" w:type="dxa"/>
            </w:tcMar>
            <w:vAlign w:val="center"/>
          </w:tcPr>
          <w:p w14:paraId="6D578A41" w14:textId="77777777" w:rsidR="00C054AF" w:rsidRPr="00846EE2" w:rsidRDefault="00C054AF" w:rsidP="006978D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846EE2">
              <w:rPr>
                <w:rFonts w:ascii="Arial" w:hAnsi="Arial" w:cs="Arial"/>
                <w:color w:val="FFFFFF" w:themeColor="background1"/>
                <w:sz w:val="20"/>
                <w:szCs w:val="20"/>
              </w:rPr>
              <w:t>Project name and partner</w:t>
            </w:r>
          </w:p>
        </w:tc>
        <w:tc>
          <w:tcPr>
            <w:tcW w:w="3176" w:type="dxa"/>
            <w:tcBorders>
              <w:bottom w:val="single" w:sz="4" w:space="0" w:color="auto"/>
            </w:tcBorders>
            <w:shd w:val="clear" w:color="auto" w:fill="006699"/>
            <w:tcMar>
              <w:top w:w="85" w:type="dxa"/>
              <w:bottom w:w="85" w:type="dxa"/>
            </w:tcMar>
            <w:vAlign w:val="center"/>
          </w:tcPr>
          <w:p w14:paraId="525FC909" w14:textId="77777777" w:rsidR="00C054AF" w:rsidRPr="00846EE2" w:rsidRDefault="00C054AF" w:rsidP="006978D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846EE2">
              <w:rPr>
                <w:rFonts w:ascii="Arial" w:hAnsi="Arial" w:cs="Arial"/>
                <w:color w:val="FFFFFF" w:themeColor="background1"/>
                <w:sz w:val="20"/>
                <w:szCs w:val="20"/>
              </w:rPr>
              <w:t>Project description</w:t>
            </w:r>
          </w:p>
        </w:tc>
        <w:tc>
          <w:tcPr>
            <w:tcW w:w="1948" w:type="dxa"/>
            <w:tcBorders>
              <w:bottom w:val="single" w:sz="4" w:space="0" w:color="auto"/>
            </w:tcBorders>
            <w:shd w:val="clear" w:color="auto" w:fill="006699"/>
            <w:tcMar>
              <w:top w:w="85" w:type="dxa"/>
              <w:bottom w:w="85" w:type="dxa"/>
            </w:tcMar>
            <w:vAlign w:val="center"/>
          </w:tcPr>
          <w:p w14:paraId="3FB04DFD" w14:textId="77777777" w:rsidR="00C054AF" w:rsidRPr="00846EE2" w:rsidRDefault="00C054AF" w:rsidP="006978D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846EE2">
              <w:rPr>
                <w:rFonts w:ascii="Arial" w:hAnsi="Arial" w:cs="Arial"/>
                <w:color w:val="FFFFFF" w:themeColor="background1"/>
                <w:sz w:val="20"/>
                <w:szCs w:val="20"/>
              </w:rPr>
              <w:t>Value (AUD) / timeframe</w:t>
            </w:r>
          </w:p>
        </w:tc>
        <w:tc>
          <w:tcPr>
            <w:tcW w:w="1591" w:type="dxa"/>
            <w:tcBorders>
              <w:bottom w:val="single" w:sz="4" w:space="0" w:color="auto"/>
            </w:tcBorders>
            <w:shd w:val="clear" w:color="auto" w:fill="006699"/>
          </w:tcPr>
          <w:p w14:paraId="69ACB614" w14:textId="77777777" w:rsidR="00C054AF" w:rsidRPr="00846EE2" w:rsidRDefault="00C054AF" w:rsidP="006978D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846EE2">
              <w:rPr>
                <w:rFonts w:ascii="Arial" w:hAnsi="Arial" w:cs="Arial"/>
                <w:color w:val="FFFFFF" w:themeColor="background1"/>
                <w:sz w:val="20"/>
                <w:szCs w:val="20"/>
              </w:rPr>
              <w:t>Project status</w:t>
            </w:r>
          </w:p>
        </w:tc>
      </w:tr>
      <w:tr w:rsidR="00C054AF" w:rsidRPr="007465EF" w14:paraId="609A4F8B" w14:textId="77777777" w:rsidTr="009C2DDC">
        <w:trPr>
          <w:cnfStyle w:val="000000100000" w:firstRow="0" w:lastRow="0" w:firstColumn="0" w:lastColumn="0" w:oddVBand="0" w:evenVBand="0" w:oddHBand="1" w:evenHBand="0" w:firstRowFirstColumn="0" w:firstRowLastColumn="0" w:lastRowFirstColumn="0" w:lastRowLastColumn="0"/>
          <w:trHeight w:val="3482"/>
        </w:trPr>
        <w:tc>
          <w:tcPr>
            <w:cnfStyle w:val="001000000000" w:firstRow="0" w:lastRow="0" w:firstColumn="1" w:lastColumn="0" w:oddVBand="0" w:evenVBand="0" w:oddHBand="0" w:evenHBand="0" w:firstRowFirstColumn="0" w:firstRowLastColumn="0" w:lastRowFirstColumn="0" w:lastRowLastColumn="0"/>
            <w:tcW w:w="629" w:type="dxa"/>
            <w:tcMar>
              <w:top w:w="85" w:type="dxa"/>
              <w:bottom w:w="85" w:type="dxa"/>
            </w:tcMar>
          </w:tcPr>
          <w:p w14:paraId="1293AF5C" w14:textId="77777777" w:rsidR="00C054AF" w:rsidRPr="007465EF" w:rsidRDefault="00C054AF" w:rsidP="006978D8">
            <w:pPr>
              <w:spacing w:line="276" w:lineRule="auto"/>
              <w:rPr>
                <w:rFonts w:asciiTheme="majorHAnsi" w:hAnsiTheme="majorHAnsi" w:cstheme="majorHAnsi"/>
                <w:sz w:val="20"/>
                <w:szCs w:val="20"/>
              </w:rPr>
            </w:pPr>
            <w:r w:rsidRPr="007465EF">
              <w:rPr>
                <w:rFonts w:asciiTheme="majorHAnsi" w:hAnsiTheme="majorHAnsi" w:cstheme="majorHAnsi"/>
                <w:sz w:val="20"/>
                <w:szCs w:val="20"/>
              </w:rPr>
              <w:t>1</w:t>
            </w:r>
          </w:p>
          <w:p w14:paraId="46BB094E" w14:textId="77777777" w:rsidR="00C054AF" w:rsidRPr="007465EF" w:rsidRDefault="00C054AF" w:rsidP="006978D8">
            <w:pPr>
              <w:spacing w:line="276" w:lineRule="auto"/>
              <w:rPr>
                <w:rFonts w:asciiTheme="majorHAnsi" w:hAnsiTheme="majorHAnsi" w:cstheme="majorHAnsi"/>
                <w:sz w:val="20"/>
                <w:szCs w:val="20"/>
              </w:rPr>
            </w:pPr>
          </w:p>
        </w:tc>
        <w:tc>
          <w:tcPr>
            <w:tcW w:w="2513" w:type="dxa"/>
            <w:tcMar>
              <w:top w:w="85" w:type="dxa"/>
              <w:bottom w:w="85" w:type="dxa"/>
            </w:tcMar>
          </w:tcPr>
          <w:p w14:paraId="18144D67" w14:textId="77777777" w:rsidR="00C054AF" w:rsidRPr="00C054AF" w:rsidRDefault="00C054AF" w:rsidP="006978D8">
            <w:pPr>
              <w:pStyle w:val="BodyText"/>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C054AF">
              <w:rPr>
                <w:rFonts w:asciiTheme="majorHAnsi" w:hAnsiTheme="majorHAnsi" w:cstheme="majorHAnsi"/>
                <w:szCs w:val="20"/>
              </w:rPr>
              <w:t>Advancing the sexuality agenda and shifting norms in the Pacific through improving access to sexual and reproductive rights and gender equality. </w:t>
            </w:r>
          </w:p>
          <w:p w14:paraId="09D5AAAA" w14:textId="77777777" w:rsidR="00C054AF" w:rsidRPr="00C054AF" w:rsidRDefault="00C054AF" w:rsidP="006978D8">
            <w:pPr>
              <w:pStyle w:val="BodyText"/>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p>
          <w:p w14:paraId="0963952C" w14:textId="5DEA227C" w:rsidR="00C054AF" w:rsidRPr="00C054AF" w:rsidRDefault="00C054AF"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(International Planned Parenthood Federation - IPPF)</w:t>
            </w:r>
          </w:p>
        </w:tc>
        <w:tc>
          <w:tcPr>
            <w:tcW w:w="3176" w:type="dxa"/>
            <w:tcMar>
              <w:top w:w="85" w:type="dxa"/>
              <w:bottom w:w="85" w:type="dxa"/>
            </w:tcMar>
          </w:tcPr>
          <w:p w14:paraId="4C5E681D" w14:textId="3347D255" w:rsidR="00C054AF" w:rsidRPr="00BE1CE7" w:rsidRDefault="00BE1CE7"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Pacific communities receive quality sexual and reproductive health care, especially the marginalised or excluded. The project aims to achieve three overarching objectives; the first is to create a better understanding of how religious, cultural and traditional practices in the Pacific influence access to SRHR amongst key populations. The second includes moving the sexuality agenda through greater investment in gender transformative programming for sexual and reproductive health. The third objectives seek to strengthen SRHR programming targeting Pacific adolescents and young people through youth network development, capacity building, and advocacy. </w:t>
            </w:r>
          </w:p>
        </w:tc>
        <w:tc>
          <w:tcPr>
            <w:tcW w:w="1948" w:type="dxa"/>
            <w:tcMar>
              <w:top w:w="85" w:type="dxa"/>
              <w:bottom w:w="85" w:type="dxa"/>
            </w:tcMar>
          </w:tcPr>
          <w:p w14:paraId="4020D5DD" w14:textId="295D1AB5" w:rsidR="00C054AF" w:rsidRDefault="00DF44D1"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7465EF">
              <w:rPr>
                <w:rFonts w:asciiTheme="majorHAnsi" w:hAnsiTheme="majorHAnsi" w:cstheme="majorHAnsi"/>
                <w:sz w:val="20"/>
              </w:rPr>
              <w:t>$798,750</w:t>
            </w:r>
          </w:p>
          <w:p w14:paraId="57BFFAF9" w14:textId="77777777" w:rsidR="00DF44D1" w:rsidRPr="007465EF" w:rsidRDefault="00DF44D1"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6B95E25" w14:textId="77A6088E" w:rsidR="00C054AF" w:rsidRPr="007465EF" w:rsidRDefault="00DF44D1"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2025</w:t>
            </w:r>
          </w:p>
          <w:p w14:paraId="505D89A2" w14:textId="77777777" w:rsidR="00C054AF" w:rsidRPr="007465EF" w:rsidRDefault="00C054AF"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591" w:type="dxa"/>
          </w:tcPr>
          <w:p w14:paraId="2F75DDAD" w14:textId="4931C686" w:rsidR="00C054AF" w:rsidRPr="007465EF" w:rsidRDefault="00DF44D1"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Ongoing</w:t>
            </w:r>
          </w:p>
          <w:p w14:paraId="57C5F6CF" w14:textId="77777777" w:rsidR="00C054AF" w:rsidRPr="007465EF" w:rsidRDefault="00C054AF"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bl>
    <w:p w14:paraId="78274DAF" w14:textId="2EE60094" w:rsidR="00E34E37" w:rsidRPr="009C2DDC" w:rsidRDefault="00E34E37" w:rsidP="006978D8">
      <w:pPr>
        <w:pStyle w:val="Heading2"/>
        <w:ind w:hanging="993"/>
        <w:rPr>
          <w:rFonts w:asciiTheme="majorHAnsi" w:hAnsiTheme="majorHAnsi" w:cstheme="majorHAnsi"/>
        </w:rPr>
      </w:pPr>
      <w:bookmarkStart w:id="18" w:name="_Toc208711163"/>
      <w:bookmarkEnd w:id="16"/>
      <w:bookmarkEnd w:id="17"/>
      <w:r w:rsidRPr="009C2DDC">
        <w:rPr>
          <w:rFonts w:asciiTheme="majorHAnsi" w:hAnsiTheme="majorHAnsi" w:cstheme="majorHAnsi"/>
        </w:rPr>
        <w:lastRenderedPageBreak/>
        <w:t>Pacific Women’s Funds</w:t>
      </w:r>
      <w:bookmarkEnd w:id="12"/>
      <w:bookmarkEnd w:id="18"/>
      <w:r w:rsidRPr="009C2DDC">
        <w:rPr>
          <w:rFonts w:asciiTheme="majorHAnsi" w:hAnsiTheme="majorHAnsi" w:cstheme="majorHAnsi"/>
        </w:rPr>
        <w:t xml:space="preserve"> </w:t>
      </w:r>
      <w:bookmarkEnd w:id="13"/>
    </w:p>
    <w:bookmarkEnd w:id="14"/>
    <w:p w14:paraId="0890B592" w14:textId="22E00B85" w:rsidR="00E34E37" w:rsidRPr="00F56579" w:rsidRDefault="00E34E37" w:rsidP="006978D8">
      <w:pPr>
        <w:spacing w:line="276" w:lineRule="auto"/>
        <w:jc w:val="left"/>
        <w:rPr>
          <w:rFonts w:asciiTheme="majorHAnsi" w:hAnsiTheme="majorHAnsi" w:cstheme="majorHAnsi"/>
          <w:sz w:val="20"/>
          <w:szCs w:val="20"/>
        </w:rPr>
      </w:pPr>
      <w:r w:rsidRPr="00F56579">
        <w:rPr>
          <w:rFonts w:asciiTheme="majorHAnsi" w:hAnsiTheme="majorHAnsi" w:cstheme="majorHAnsi"/>
          <w:sz w:val="20"/>
          <w:szCs w:val="20"/>
        </w:rPr>
        <w:t xml:space="preserve">The Pacific Women’s Funds is made up of </w:t>
      </w:r>
      <w:r w:rsidR="00570A67" w:rsidRPr="00F56579">
        <w:rPr>
          <w:rFonts w:asciiTheme="majorHAnsi" w:hAnsiTheme="majorHAnsi" w:cstheme="majorHAnsi"/>
          <w:sz w:val="20"/>
          <w:szCs w:val="20"/>
        </w:rPr>
        <w:t>3</w:t>
      </w:r>
      <w:r w:rsidRPr="00F56579">
        <w:rPr>
          <w:rFonts w:asciiTheme="majorHAnsi" w:hAnsiTheme="majorHAnsi" w:cstheme="majorHAnsi"/>
          <w:sz w:val="20"/>
          <w:szCs w:val="20"/>
        </w:rPr>
        <w:t xml:space="preserve"> feminist organisations: Women’s Fund Fiji, Urgent Action Fund Asia and Pacific and Pacific Feminist Fund.</w:t>
      </w:r>
    </w:p>
    <w:p w14:paraId="3031C0E1" w14:textId="2EC131C5" w:rsidR="009B42E4" w:rsidRPr="006B5775" w:rsidRDefault="002468F4" w:rsidP="006978D8">
      <w:pPr>
        <w:spacing w:after="360" w:line="276" w:lineRule="auto"/>
        <w:jc w:val="left"/>
        <w:rPr>
          <w:rFonts w:asciiTheme="majorHAnsi" w:hAnsiTheme="majorHAnsi" w:cstheme="majorHAnsi"/>
          <w:sz w:val="20"/>
          <w:szCs w:val="20"/>
        </w:rPr>
      </w:pPr>
      <w:r w:rsidRPr="006B5775">
        <w:rPr>
          <w:rFonts w:asciiTheme="majorHAnsi" w:hAnsiTheme="majorHAnsi" w:cstheme="majorHAnsi"/>
          <w:sz w:val="20"/>
          <w:szCs w:val="20"/>
        </w:rPr>
        <w:t>To date,</w:t>
      </w:r>
      <w:r w:rsidR="009B42E4" w:rsidRPr="006B5775">
        <w:rPr>
          <w:rFonts w:asciiTheme="majorHAnsi" w:hAnsiTheme="majorHAnsi" w:cstheme="majorHAnsi"/>
          <w:sz w:val="20"/>
          <w:szCs w:val="20"/>
        </w:rPr>
        <w:t xml:space="preserve"> there have been no projects funded through this component </w:t>
      </w:r>
      <w:r w:rsidRPr="006B5775">
        <w:rPr>
          <w:rFonts w:asciiTheme="majorHAnsi" w:hAnsiTheme="majorHAnsi" w:cstheme="majorHAnsi"/>
          <w:sz w:val="20"/>
          <w:szCs w:val="20"/>
        </w:rPr>
        <w:t xml:space="preserve">in </w:t>
      </w:r>
      <w:r w:rsidR="00FE5622" w:rsidRPr="006B5775">
        <w:rPr>
          <w:rFonts w:asciiTheme="majorHAnsi" w:hAnsiTheme="majorHAnsi" w:cstheme="majorHAnsi"/>
          <w:sz w:val="20"/>
          <w:szCs w:val="20"/>
        </w:rPr>
        <w:t>Solomon Islands</w:t>
      </w:r>
      <w:r w:rsidR="009B42E4" w:rsidRPr="006B5775">
        <w:rPr>
          <w:rFonts w:asciiTheme="majorHAnsi" w:hAnsiTheme="majorHAnsi" w:cstheme="majorHAnsi"/>
          <w:sz w:val="20"/>
          <w:szCs w:val="20"/>
        </w:rPr>
        <w:t>.</w:t>
      </w:r>
    </w:p>
    <w:p w14:paraId="5D7C6325" w14:textId="0D8D61E3" w:rsidR="00E34E37" w:rsidRPr="009C2DDC" w:rsidRDefault="00E34E37" w:rsidP="006978D8">
      <w:pPr>
        <w:pStyle w:val="Heading2"/>
        <w:ind w:hanging="993"/>
        <w:rPr>
          <w:rFonts w:asciiTheme="majorHAnsi" w:hAnsiTheme="majorHAnsi"/>
        </w:rPr>
      </w:pPr>
      <w:bookmarkStart w:id="19" w:name="_Toc208711164"/>
      <w:r w:rsidRPr="009C2DDC">
        <w:rPr>
          <w:rFonts w:asciiTheme="majorHAnsi" w:hAnsiTheme="majorHAnsi"/>
        </w:rPr>
        <w:t xml:space="preserve">DFAT </w:t>
      </w:r>
      <w:r w:rsidR="756CB722" w:rsidRPr="6643C3DA">
        <w:rPr>
          <w:rFonts w:asciiTheme="majorHAnsi" w:hAnsiTheme="majorHAnsi"/>
        </w:rPr>
        <w:t>R</w:t>
      </w:r>
      <w:r w:rsidRPr="009C2DDC">
        <w:rPr>
          <w:rFonts w:asciiTheme="majorHAnsi" w:hAnsiTheme="majorHAnsi"/>
        </w:rPr>
        <w:t>egional</w:t>
      </w:r>
      <w:bookmarkEnd w:id="19"/>
      <w:r w:rsidRPr="009C2DDC">
        <w:rPr>
          <w:rFonts w:asciiTheme="majorHAnsi" w:hAnsiTheme="majorHAnsi"/>
        </w:rPr>
        <w:t xml:space="preserve"> </w:t>
      </w:r>
    </w:p>
    <w:p w14:paraId="712CF984" w14:textId="6E2B5921" w:rsidR="00E34E37" w:rsidRPr="00F56579" w:rsidRDefault="00E34E37" w:rsidP="006978D8">
      <w:pPr>
        <w:spacing w:line="276" w:lineRule="auto"/>
        <w:jc w:val="left"/>
        <w:rPr>
          <w:rFonts w:asciiTheme="majorHAnsi" w:hAnsiTheme="majorHAnsi" w:cstheme="majorHAnsi"/>
          <w:sz w:val="20"/>
          <w:szCs w:val="20"/>
        </w:rPr>
      </w:pPr>
      <w:bookmarkStart w:id="20" w:name="_Hlk131596992"/>
      <w:r w:rsidRPr="00F56579">
        <w:rPr>
          <w:rFonts w:asciiTheme="majorHAnsi" w:hAnsiTheme="majorHAnsi" w:cstheme="majorHAnsi"/>
          <w:sz w:val="20"/>
          <w:szCs w:val="20"/>
        </w:rPr>
        <w:t xml:space="preserve">This section presents information on regional (multi-country) gender activities in </w:t>
      </w:r>
      <w:r w:rsidR="00551CE3">
        <w:rPr>
          <w:rFonts w:asciiTheme="majorHAnsi" w:hAnsiTheme="majorHAnsi" w:cstheme="majorHAnsi"/>
          <w:sz w:val="20"/>
          <w:szCs w:val="20"/>
        </w:rPr>
        <w:t>Solomon Islands</w:t>
      </w:r>
      <w:r w:rsidRPr="00F56579">
        <w:rPr>
          <w:rFonts w:asciiTheme="majorHAnsi" w:hAnsiTheme="majorHAnsi" w:cstheme="majorHAnsi"/>
          <w:sz w:val="20"/>
          <w:szCs w:val="20"/>
        </w:rPr>
        <w:t>. These regional gender activities are managed by either DFAT Post in Fiji or</w:t>
      </w:r>
      <w:r w:rsidR="00185699">
        <w:rPr>
          <w:rFonts w:asciiTheme="majorHAnsi" w:hAnsiTheme="majorHAnsi" w:cstheme="majorHAnsi"/>
          <w:sz w:val="20"/>
          <w:szCs w:val="20"/>
        </w:rPr>
        <w:t xml:space="preserve"> </w:t>
      </w:r>
      <w:r w:rsidRPr="00F56579">
        <w:rPr>
          <w:rFonts w:asciiTheme="majorHAnsi" w:hAnsiTheme="majorHAnsi" w:cstheme="majorHAnsi"/>
          <w:sz w:val="20"/>
          <w:szCs w:val="20"/>
        </w:rPr>
        <w:t xml:space="preserve">Canberra (Australia). </w:t>
      </w:r>
    </w:p>
    <w:bookmarkEnd w:id="20"/>
    <w:p w14:paraId="00D6AA63" w14:textId="3772E07B" w:rsidR="00AD2F35" w:rsidRPr="00F56579" w:rsidRDefault="000C6216" w:rsidP="006978D8">
      <w:pPr>
        <w:pStyle w:val="BodyText"/>
        <w:spacing w:after="360"/>
        <w:rPr>
          <w:rFonts w:asciiTheme="majorHAnsi" w:hAnsiTheme="majorHAnsi" w:cstheme="majorHAnsi"/>
          <w:szCs w:val="20"/>
        </w:rPr>
      </w:pPr>
      <w:r w:rsidRPr="000C6216">
        <w:rPr>
          <w:rFonts w:asciiTheme="majorHAnsi" w:hAnsiTheme="majorHAnsi" w:cstheme="majorHAnsi"/>
          <w:szCs w:val="20"/>
        </w:rPr>
        <w:t xml:space="preserve">There are </w:t>
      </w:r>
      <w:r w:rsidRPr="001060C4">
        <w:rPr>
          <w:rFonts w:asciiTheme="majorHAnsi" w:hAnsiTheme="majorHAnsi" w:cstheme="majorHAnsi"/>
          <w:szCs w:val="20"/>
        </w:rPr>
        <w:t>1</w:t>
      </w:r>
      <w:r w:rsidR="001B384C" w:rsidRPr="001060C4">
        <w:rPr>
          <w:rFonts w:asciiTheme="majorHAnsi" w:hAnsiTheme="majorHAnsi" w:cstheme="majorHAnsi"/>
          <w:szCs w:val="20"/>
        </w:rPr>
        <w:t>5</w:t>
      </w:r>
      <w:r w:rsidRPr="000C6216">
        <w:rPr>
          <w:rFonts w:asciiTheme="majorHAnsi" w:hAnsiTheme="majorHAnsi" w:cstheme="majorHAnsi"/>
          <w:szCs w:val="20"/>
        </w:rPr>
        <w:t xml:space="preserve"> regional projects </w:t>
      </w:r>
      <w:r w:rsidR="00083EC0">
        <w:rPr>
          <w:rFonts w:asciiTheme="majorHAnsi" w:hAnsiTheme="majorHAnsi" w:cstheme="majorHAnsi"/>
          <w:szCs w:val="20"/>
        </w:rPr>
        <w:t xml:space="preserve">and </w:t>
      </w:r>
      <w:r w:rsidR="00C1576A">
        <w:rPr>
          <w:rFonts w:asciiTheme="majorHAnsi" w:hAnsiTheme="majorHAnsi" w:cstheme="majorHAnsi"/>
          <w:szCs w:val="20"/>
        </w:rPr>
        <w:t>3</w:t>
      </w:r>
      <w:r w:rsidR="00657EDB">
        <w:rPr>
          <w:rFonts w:asciiTheme="majorHAnsi" w:hAnsiTheme="majorHAnsi" w:cstheme="majorHAnsi"/>
          <w:szCs w:val="20"/>
        </w:rPr>
        <w:t xml:space="preserve"> </w:t>
      </w:r>
      <w:r w:rsidR="00083EC0">
        <w:rPr>
          <w:rFonts w:asciiTheme="majorHAnsi" w:hAnsiTheme="majorHAnsi" w:cstheme="majorHAnsi"/>
          <w:szCs w:val="20"/>
        </w:rPr>
        <w:t xml:space="preserve">research </w:t>
      </w:r>
      <w:r w:rsidRPr="000C6216">
        <w:rPr>
          <w:rFonts w:asciiTheme="majorHAnsi" w:hAnsiTheme="majorHAnsi" w:cstheme="majorHAnsi"/>
          <w:szCs w:val="20"/>
        </w:rPr>
        <w:t>implemented by 1</w:t>
      </w:r>
      <w:r w:rsidR="00167056">
        <w:rPr>
          <w:rFonts w:asciiTheme="majorHAnsi" w:hAnsiTheme="majorHAnsi" w:cstheme="majorHAnsi"/>
          <w:szCs w:val="20"/>
        </w:rPr>
        <w:t>2</w:t>
      </w:r>
      <w:r w:rsidRPr="000C6216">
        <w:rPr>
          <w:rFonts w:asciiTheme="majorHAnsi" w:hAnsiTheme="majorHAnsi" w:cstheme="majorHAnsi"/>
          <w:szCs w:val="20"/>
        </w:rPr>
        <w:t xml:space="preserve"> distinct implementing partners in Solomon Islands</w:t>
      </w:r>
      <w:r>
        <w:rPr>
          <w:rFonts w:asciiTheme="majorHAnsi" w:hAnsiTheme="majorHAnsi" w:cstheme="majorHAnsi"/>
          <w:szCs w:val="20"/>
        </w:rPr>
        <w:t xml:space="preserve">. </w:t>
      </w:r>
      <w:r w:rsidR="00541A08" w:rsidRPr="00F56579">
        <w:rPr>
          <w:rFonts w:asciiTheme="majorHAnsi" w:hAnsiTheme="majorHAnsi" w:cstheme="majorHAnsi"/>
          <w:szCs w:val="20"/>
        </w:rPr>
        <w:t xml:space="preserve">Of these, </w:t>
      </w:r>
      <w:r w:rsidR="007F151F" w:rsidRPr="001060C4">
        <w:rPr>
          <w:rFonts w:asciiTheme="majorHAnsi" w:hAnsiTheme="majorHAnsi" w:cstheme="majorHAnsi"/>
          <w:szCs w:val="20"/>
        </w:rPr>
        <w:t>12</w:t>
      </w:r>
      <w:r w:rsidR="007F151F" w:rsidRPr="00F56579">
        <w:rPr>
          <w:rFonts w:asciiTheme="majorHAnsi" w:hAnsiTheme="majorHAnsi" w:cstheme="majorHAnsi"/>
          <w:szCs w:val="20"/>
        </w:rPr>
        <w:t xml:space="preserve"> </w:t>
      </w:r>
      <w:r w:rsidR="006F4EAF" w:rsidRPr="00F56579">
        <w:rPr>
          <w:rFonts w:asciiTheme="majorHAnsi" w:hAnsiTheme="majorHAnsi" w:cstheme="majorHAnsi"/>
          <w:szCs w:val="20"/>
        </w:rPr>
        <w:t>is</w:t>
      </w:r>
      <w:r w:rsidR="00541A08" w:rsidRPr="00F56579">
        <w:rPr>
          <w:rFonts w:asciiTheme="majorHAnsi" w:hAnsiTheme="majorHAnsi" w:cstheme="majorHAnsi"/>
          <w:szCs w:val="20"/>
        </w:rPr>
        <w:t xml:space="preserve"> ongoing and</w:t>
      </w:r>
      <w:r w:rsidR="00011422" w:rsidRPr="00F56579">
        <w:rPr>
          <w:rFonts w:asciiTheme="majorHAnsi" w:hAnsiTheme="majorHAnsi" w:cstheme="majorHAnsi"/>
          <w:szCs w:val="20"/>
        </w:rPr>
        <w:t xml:space="preserve"> </w:t>
      </w:r>
      <w:r w:rsidR="00285BA2" w:rsidRPr="001060C4">
        <w:rPr>
          <w:rFonts w:asciiTheme="majorHAnsi" w:hAnsiTheme="majorHAnsi" w:cstheme="majorHAnsi"/>
          <w:szCs w:val="20"/>
        </w:rPr>
        <w:t>5</w:t>
      </w:r>
      <w:r w:rsidR="006F4EAF">
        <w:rPr>
          <w:rFonts w:asciiTheme="majorHAnsi" w:hAnsiTheme="majorHAnsi" w:cstheme="majorHAnsi"/>
          <w:szCs w:val="20"/>
        </w:rPr>
        <w:t xml:space="preserve"> </w:t>
      </w:r>
      <w:r w:rsidR="00167056">
        <w:rPr>
          <w:rFonts w:asciiTheme="majorHAnsi" w:hAnsiTheme="majorHAnsi" w:cstheme="majorHAnsi"/>
          <w:szCs w:val="20"/>
        </w:rPr>
        <w:t>have</w:t>
      </w:r>
      <w:r w:rsidR="00011422" w:rsidRPr="00F56579">
        <w:rPr>
          <w:rFonts w:asciiTheme="majorHAnsi" w:hAnsiTheme="majorHAnsi" w:cstheme="majorHAnsi"/>
          <w:szCs w:val="20"/>
        </w:rPr>
        <w:t xml:space="preserve"> been completed.</w:t>
      </w:r>
      <w:r w:rsidR="00A12913">
        <w:rPr>
          <w:rFonts w:asciiTheme="majorHAnsi" w:hAnsiTheme="majorHAnsi" w:cstheme="majorHAnsi"/>
          <w:szCs w:val="20"/>
        </w:rPr>
        <w:t xml:space="preserve"> </w:t>
      </w:r>
    </w:p>
    <w:p w14:paraId="02385187" w14:textId="7EAC0CBE" w:rsidR="009E65AD" w:rsidRPr="00FE5622" w:rsidRDefault="009E65AD" w:rsidP="006978D8">
      <w:pPr>
        <w:pStyle w:val="Caption"/>
        <w:rPr>
          <w:sz w:val="20"/>
          <w:szCs w:val="20"/>
        </w:rPr>
      </w:pPr>
      <w:r w:rsidRPr="00FE5622">
        <w:rPr>
          <w:sz w:val="20"/>
          <w:szCs w:val="20"/>
        </w:rPr>
        <w:t xml:space="preserve">Table </w:t>
      </w:r>
      <w:r w:rsidRPr="00FE5622">
        <w:rPr>
          <w:sz w:val="20"/>
          <w:szCs w:val="20"/>
        </w:rPr>
        <w:fldChar w:fldCharType="begin"/>
      </w:r>
      <w:r w:rsidRPr="00FE5622">
        <w:rPr>
          <w:sz w:val="20"/>
          <w:szCs w:val="20"/>
        </w:rPr>
        <w:instrText>SEQ Table \* ARABIC</w:instrText>
      </w:r>
      <w:r w:rsidRPr="00FE5622">
        <w:rPr>
          <w:sz w:val="20"/>
          <w:szCs w:val="20"/>
        </w:rPr>
        <w:fldChar w:fldCharType="separate"/>
      </w:r>
      <w:r w:rsidR="00890EE2">
        <w:rPr>
          <w:noProof/>
          <w:sz w:val="20"/>
          <w:szCs w:val="20"/>
        </w:rPr>
        <w:t>3</w:t>
      </w:r>
      <w:r w:rsidRPr="00FE5622">
        <w:rPr>
          <w:sz w:val="20"/>
          <w:szCs w:val="20"/>
        </w:rPr>
        <w:fldChar w:fldCharType="end"/>
      </w:r>
      <w:r w:rsidRPr="00FE5622">
        <w:rPr>
          <w:sz w:val="20"/>
          <w:szCs w:val="20"/>
        </w:rPr>
        <w:t xml:space="preserve">: DFAT regional projects in </w:t>
      </w:r>
      <w:r w:rsidR="00551CE3" w:rsidRPr="00FE5622">
        <w:rPr>
          <w:sz w:val="20"/>
          <w:szCs w:val="20"/>
        </w:rPr>
        <w:t>Solomon Islands</w:t>
      </w:r>
      <w:r w:rsidRPr="00FE5622">
        <w:rPr>
          <w:sz w:val="20"/>
          <w:szCs w:val="20"/>
        </w:rPr>
        <w:t xml:space="preserve"> as </w:t>
      </w:r>
      <w:r w:rsidR="00AC020E" w:rsidRPr="00FE5622">
        <w:rPr>
          <w:sz w:val="20"/>
          <w:szCs w:val="20"/>
        </w:rPr>
        <w:t>of</w:t>
      </w:r>
      <w:r w:rsidRPr="00FE5622">
        <w:rPr>
          <w:sz w:val="20"/>
          <w:szCs w:val="20"/>
        </w:rPr>
        <w:t xml:space="preserve"> </w:t>
      </w:r>
      <w:r w:rsidR="0050375D" w:rsidRPr="00FE5622">
        <w:rPr>
          <w:sz w:val="20"/>
          <w:szCs w:val="20"/>
        </w:rPr>
        <w:t xml:space="preserve">31 </w:t>
      </w:r>
      <w:r w:rsidR="00AC020E">
        <w:rPr>
          <w:sz w:val="20"/>
          <w:szCs w:val="20"/>
        </w:rPr>
        <w:t xml:space="preserve">August </w:t>
      </w:r>
      <w:r w:rsidR="0077001E">
        <w:rPr>
          <w:sz w:val="20"/>
          <w:szCs w:val="20"/>
        </w:rPr>
        <w:t>2025</w:t>
      </w:r>
    </w:p>
    <w:tbl>
      <w:tblPr>
        <w:tblStyle w:val="PlainTable2"/>
        <w:tblW w:w="1003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1133"/>
        <w:gridCol w:w="2125"/>
        <w:gridCol w:w="3117"/>
        <w:gridCol w:w="1700"/>
        <w:gridCol w:w="1388"/>
      </w:tblGrid>
      <w:tr w:rsidR="006E3666" w:rsidRPr="00846EE2" w14:paraId="0BD086B4" w14:textId="284744BC" w:rsidTr="6643C3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006699"/>
            <w:tcMar>
              <w:top w:w="85" w:type="dxa"/>
              <w:bottom w:w="85" w:type="dxa"/>
            </w:tcMar>
            <w:vAlign w:val="center"/>
          </w:tcPr>
          <w:p w14:paraId="77AA645B" w14:textId="3622E8F5" w:rsidR="00FE5622" w:rsidRPr="00846EE2" w:rsidRDefault="00FE5622" w:rsidP="006978D8">
            <w:pPr>
              <w:spacing w:line="276" w:lineRule="auto"/>
              <w:rPr>
                <w:rFonts w:ascii="Arial" w:hAnsi="Arial" w:cs="Arial"/>
                <w:b w:val="0"/>
                <w:bCs w:val="0"/>
                <w:color w:val="FFFFFF" w:themeColor="background1"/>
                <w:sz w:val="20"/>
                <w:szCs w:val="20"/>
              </w:rPr>
            </w:pPr>
            <w:bookmarkStart w:id="21" w:name="_Hlk137733436"/>
            <w:r w:rsidRPr="00846EE2">
              <w:rPr>
                <w:rFonts w:ascii="Arial" w:hAnsi="Arial" w:cs="Arial"/>
                <w:color w:val="FFFFFF" w:themeColor="background1"/>
                <w:sz w:val="20"/>
                <w:szCs w:val="20"/>
              </w:rPr>
              <w:t>No.</w:t>
            </w:r>
          </w:p>
        </w:tc>
        <w:tc>
          <w:tcPr>
            <w:tcW w:w="0" w:type="dxa"/>
            <w:tcBorders>
              <w:bottom w:val="single" w:sz="4" w:space="0" w:color="auto"/>
            </w:tcBorders>
            <w:shd w:val="clear" w:color="auto" w:fill="006699"/>
            <w:tcMar>
              <w:top w:w="85" w:type="dxa"/>
              <w:bottom w:w="85" w:type="dxa"/>
            </w:tcMar>
            <w:vAlign w:val="center"/>
          </w:tcPr>
          <w:p w14:paraId="5ED8F16A" w14:textId="6C7E41A5" w:rsidR="00FE5622" w:rsidRPr="00846EE2" w:rsidRDefault="00FE5622" w:rsidP="006978D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roofErr w:type="spellStart"/>
            <w:r w:rsidRPr="00846EE2">
              <w:rPr>
                <w:rFonts w:ascii="Arial" w:hAnsi="Arial" w:cs="Arial"/>
                <w:color w:val="FFFFFF" w:themeColor="background1"/>
                <w:sz w:val="20"/>
                <w:szCs w:val="20"/>
              </w:rPr>
              <w:t>Aidworks</w:t>
            </w:r>
            <w:proofErr w:type="spellEnd"/>
            <w:r w:rsidRPr="00846EE2">
              <w:rPr>
                <w:rFonts w:ascii="Arial" w:hAnsi="Arial" w:cs="Arial"/>
                <w:color w:val="FFFFFF" w:themeColor="background1"/>
                <w:sz w:val="20"/>
                <w:szCs w:val="20"/>
              </w:rPr>
              <w:t xml:space="preserve"> number</w:t>
            </w:r>
          </w:p>
        </w:tc>
        <w:tc>
          <w:tcPr>
            <w:tcW w:w="0" w:type="dxa"/>
            <w:tcBorders>
              <w:bottom w:val="single" w:sz="4" w:space="0" w:color="auto"/>
            </w:tcBorders>
            <w:shd w:val="clear" w:color="auto" w:fill="006699"/>
            <w:tcMar>
              <w:top w:w="85" w:type="dxa"/>
              <w:bottom w:w="85" w:type="dxa"/>
            </w:tcMar>
            <w:vAlign w:val="center"/>
          </w:tcPr>
          <w:p w14:paraId="43B2612D" w14:textId="1E2706BC" w:rsidR="00FE5622" w:rsidRPr="00846EE2" w:rsidRDefault="00FE5622" w:rsidP="006978D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846EE2">
              <w:rPr>
                <w:rFonts w:ascii="Arial" w:hAnsi="Arial" w:cs="Arial"/>
                <w:color w:val="FFFFFF" w:themeColor="background1"/>
                <w:sz w:val="20"/>
                <w:szCs w:val="20"/>
              </w:rPr>
              <w:t>Project name and partner</w:t>
            </w:r>
          </w:p>
        </w:tc>
        <w:tc>
          <w:tcPr>
            <w:tcW w:w="0" w:type="dxa"/>
            <w:tcBorders>
              <w:bottom w:val="single" w:sz="4" w:space="0" w:color="auto"/>
            </w:tcBorders>
            <w:shd w:val="clear" w:color="auto" w:fill="006699"/>
            <w:tcMar>
              <w:top w:w="85" w:type="dxa"/>
              <w:bottom w:w="85" w:type="dxa"/>
            </w:tcMar>
            <w:vAlign w:val="center"/>
          </w:tcPr>
          <w:p w14:paraId="2D46C3E1" w14:textId="60209072" w:rsidR="00FE5622" w:rsidRPr="00846EE2" w:rsidRDefault="00FE5622" w:rsidP="006978D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846EE2">
              <w:rPr>
                <w:rFonts w:ascii="Arial" w:hAnsi="Arial" w:cs="Arial"/>
                <w:color w:val="FFFFFF" w:themeColor="background1"/>
                <w:sz w:val="20"/>
                <w:szCs w:val="20"/>
              </w:rPr>
              <w:t>Project description</w:t>
            </w:r>
          </w:p>
        </w:tc>
        <w:tc>
          <w:tcPr>
            <w:tcW w:w="0" w:type="dxa"/>
            <w:tcBorders>
              <w:bottom w:val="single" w:sz="4" w:space="0" w:color="auto"/>
            </w:tcBorders>
            <w:shd w:val="clear" w:color="auto" w:fill="006699"/>
            <w:tcMar>
              <w:top w:w="85" w:type="dxa"/>
              <w:bottom w:w="85" w:type="dxa"/>
            </w:tcMar>
            <w:vAlign w:val="center"/>
          </w:tcPr>
          <w:p w14:paraId="2B1CD2D2" w14:textId="5F14DC21" w:rsidR="00FE5622" w:rsidRPr="00846EE2" w:rsidRDefault="00FE5622" w:rsidP="006978D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846EE2">
              <w:rPr>
                <w:rFonts w:ascii="Arial" w:hAnsi="Arial" w:cs="Arial"/>
                <w:color w:val="FFFFFF" w:themeColor="background1"/>
                <w:sz w:val="20"/>
                <w:szCs w:val="20"/>
              </w:rPr>
              <w:t>Value (AUD) / timeframe</w:t>
            </w:r>
          </w:p>
        </w:tc>
        <w:tc>
          <w:tcPr>
            <w:tcW w:w="0" w:type="dxa"/>
            <w:tcBorders>
              <w:bottom w:val="single" w:sz="4" w:space="0" w:color="auto"/>
            </w:tcBorders>
            <w:shd w:val="clear" w:color="auto" w:fill="006699"/>
          </w:tcPr>
          <w:p w14:paraId="51249858" w14:textId="419A4527" w:rsidR="00FE5622" w:rsidRPr="00846EE2" w:rsidRDefault="004C40F3" w:rsidP="006978D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846EE2">
              <w:rPr>
                <w:rFonts w:ascii="Arial" w:hAnsi="Arial" w:cs="Arial"/>
                <w:color w:val="FFFFFF" w:themeColor="background1"/>
                <w:sz w:val="20"/>
                <w:szCs w:val="20"/>
              </w:rPr>
              <w:t>Project status</w:t>
            </w:r>
          </w:p>
        </w:tc>
      </w:tr>
      <w:bookmarkEnd w:id="21"/>
      <w:tr w:rsidR="006935B5" w:rsidRPr="006978D0" w14:paraId="264AD751" w14:textId="77777777" w:rsidTr="00491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4765193D" w14:textId="77777777" w:rsidR="00846EE2" w:rsidRPr="009C2DDC" w:rsidRDefault="00846EE2" w:rsidP="006978D8">
            <w:pPr>
              <w:spacing w:line="276" w:lineRule="auto"/>
              <w:rPr>
                <w:rFonts w:asciiTheme="majorHAnsi" w:hAnsiTheme="majorHAnsi" w:cstheme="majorHAnsi"/>
                <w:sz w:val="20"/>
                <w:szCs w:val="20"/>
              </w:rPr>
            </w:pPr>
            <w:r w:rsidRPr="009C2DDC">
              <w:rPr>
                <w:rFonts w:asciiTheme="majorHAnsi" w:hAnsiTheme="majorHAnsi" w:cstheme="majorHAnsi"/>
                <w:sz w:val="20"/>
                <w:szCs w:val="20"/>
              </w:rPr>
              <w:t>1</w:t>
            </w:r>
          </w:p>
          <w:p w14:paraId="0C8601FE" w14:textId="77777777" w:rsidR="00846EE2" w:rsidRPr="009C2DDC" w:rsidRDefault="00846EE2" w:rsidP="006978D8">
            <w:pPr>
              <w:spacing w:line="276" w:lineRule="auto"/>
              <w:rPr>
                <w:rFonts w:asciiTheme="majorHAnsi" w:hAnsiTheme="majorHAnsi" w:cstheme="majorHAnsi"/>
                <w:sz w:val="20"/>
                <w:szCs w:val="20"/>
              </w:rPr>
            </w:pPr>
          </w:p>
        </w:tc>
        <w:tc>
          <w:tcPr>
            <w:tcW w:w="1133" w:type="dxa"/>
            <w:tcMar>
              <w:top w:w="85" w:type="dxa"/>
              <w:bottom w:w="85" w:type="dxa"/>
            </w:tcMar>
          </w:tcPr>
          <w:p w14:paraId="0C073608" w14:textId="77777777" w:rsidR="00846EE2" w:rsidRPr="009C2DDC" w:rsidRDefault="00846EE2"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C2DDC">
              <w:rPr>
                <w:rFonts w:asciiTheme="majorHAnsi" w:hAnsiTheme="majorHAnsi" w:cstheme="majorHAnsi"/>
                <w:sz w:val="20"/>
                <w:szCs w:val="20"/>
                <w:lang w:val="en-US"/>
              </w:rPr>
              <w:t>74352</w:t>
            </w:r>
          </w:p>
          <w:p w14:paraId="0BB092B2" w14:textId="77777777" w:rsidR="00846EE2" w:rsidRPr="009C2DDC" w:rsidRDefault="00846EE2"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2125" w:type="dxa"/>
            <w:tcMar>
              <w:top w:w="85" w:type="dxa"/>
              <w:bottom w:w="85" w:type="dxa"/>
            </w:tcMar>
          </w:tcPr>
          <w:p w14:paraId="0FF87C93" w14:textId="77777777" w:rsidR="00846EE2" w:rsidRPr="009C2DDC" w:rsidRDefault="00846EE2"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A Transformative Agenda for Women, Adolescents and Youth in the Pacific: Towards Zero Unmet Need for Planning 2018 - 2022 Phase 1</w:t>
            </w:r>
          </w:p>
          <w:p w14:paraId="4ACFD8EF" w14:textId="77777777" w:rsidR="00846EE2" w:rsidRPr="009C2DDC" w:rsidRDefault="00846EE2"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2C2383F" w14:textId="705EEDDF" w:rsidR="00846EE2" w:rsidRPr="009C2DDC" w:rsidRDefault="002A20FA"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(United Nations Population Fund (UNFPA))</w:t>
            </w:r>
          </w:p>
        </w:tc>
        <w:tc>
          <w:tcPr>
            <w:tcW w:w="3117" w:type="dxa"/>
            <w:tcMar>
              <w:top w:w="85" w:type="dxa"/>
              <w:bottom w:w="85" w:type="dxa"/>
            </w:tcMar>
          </w:tcPr>
          <w:p w14:paraId="0FF48030" w14:textId="0D70AF88" w:rsidR="00846EE2" w:rsidRPr="009C2DDC" w:rsidRDefault="0099752C"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6DA7">
              <w:rPr>
                <w:rFonts w:ascii="Arial" w:hAnsi="Arial" w:cs="Arial"/>
                <w:sz w:val="20"/>
                <w:szCs w:val="20"/>
              </w:rPr>
              <w:t>The project drives transformative change in the lives of women, adolescents, and youth across the Pacific. Through its Transformative Agenda, it outlines actions to increase both the demand for and supply of sexual and reproductive health (SRH) services and information</w:t>
            </w:r>
            <w:r>
              <w:rPr>
                <w:rFonts w:ascii="Arial" w:hAnsi="Arial" w:cs="Arial"/>
                <w:sz w:val="20"/>
                <w:szCs w:val="20"/>
              </w:rPr>
              <w:t xml:space="preserve">, </w:t>
            </w:r>
            <w:r w:rsidRPr="009C6DA7">
              <w:rPr>
                <w:rFonts w:ascii="Arial" w:hAnsi="Arial" w:cs="Arial"/>
                <w:sz w:val="20"/>
                <w:szCs w:val="20"/>
              </w:rPr>
              <w:t>particularly family planning</w:t>
            </w:r>
            <w:r>
              <w:rPr>
                <w:rFonts w:ascii="Arial" w:hAnsi="Arial" w:cs="Arial"/>
                <w:sz w:val="20"/>
                <w:szCs w:val="20"/>
              </w:rPr>
              <w:t xml:space="preserve">, </w:t>
            </w:r>
            <w:r w:rsidRPr="009C6DA7">
              <w:rPr>
                <w:rFonts w:ascii="Arial" w:hAnsi="Arial" w:cs="Arial"/>
                <w:sz w:val="20"/>
                <w:szCs w:val="20"/>
              </w:rPr>
              <w:t>while fostering an enabling environment for progress</w:t>
            </w:r>
          </w:p>
        </w:tc>
        <w:tc>
          <w:tcPr>
            <w:tcW w:w="1700" w:type="dxa"/>
            <w:tcMar>
              <w:top w:w="85" w:type="dxa"/>
              <w:bottom w:w="85" w:type="dxa"/>
            </w:tcMar>
          </w:tcPr>
          <w:p w14:paraId="31E666DD" w14:textId="77777777" w:rsidR="00846EE2" w:rsidRPr="009C2DDC" w:rsidRDefault="00846EE2"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$7,500,000</w:t>
            </w:r>
          </w:p>
          <w:p w14:paraId="6F04F351" w14:textId="77777777" w:rsidR="00846EE2" w:rsidRPr="009C2DDC" w:rsidRDefault="00846EE2"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BF74BC2" w14:textId="04D88185" w:rsidR="00846EE2" w:rsidRPr="009C2DDC" w:rsidRDefault="00846EE2"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2021 – 202</w:t>
            </w:r>
            <w:r w:rsidR="00C425FA" w:rsidRPr="009C2DDC">
              <w:rPr>
                <w:rFonts w:asciiTheme="majorHAnsi" w:hAnsiTheme="majorHAnsi" w:cstheme="majorHAnsi"/>
                <w:sz w:val="20"/>
                <w:szCs w:val="20"/>
              </w:rPr>
              <w:t>3</w:t>
            </w:r>
          </w:p>
          <w:p w14:paraId="49222984" w14:textId="77777777" w:rsidR="00846EE2" w:rsidRPr="009C2DDC" w:rsidRDefault="00846EE2"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388" w:type="dxa"/>
          </w:tcPr>
          <w:p w14:paraId="3E9F9734" w14:textId="77777777" w:rsidR="00846EE2" w:rsidRPr="009C2DDC" w:rsidRDefault="00846EE2"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Completed</w:t>
            </w:r>
          </w:p>
          <w:p w14:paraId="0B786F19" w14:textId="77777777" w:rsidR="00846EE2" w:rsidRPr="009C2DDC" w:rsidRDefault="00846EE2"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6935B5" w:rsidRPr="006978D0" w14:paraId="541536A8" w14:textId="77777777" w:rsidTr="00491EEE">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tcMar>
              <w:top w:w="85" w:type="dxa"/>
              <w:bottom w:w="85" w:type="dxa"/>
            </w:tcMar>
          </w:tcPr>
          <w:p w14:paraId="4769A87C" w14:textId="77777777" w:rsidR="00D25E85" w:rsidRPr="009C2DDC" w:rsidRDefault="00D25E85" w:rsidP="006978D8">
            <w:pPr>
              <w:spacing w:line="276" w:lineRule="auto"/>
              <w:rPr>
                <w:rFonts w:asciiTheme="majorHAnsi" w:hAnsiTheme="majorHAnsi" w:cstheme="majorHAnsi"/>
                <w:sz w:val="20"/>
                <w:szCs w:val="20"/>
              </w:rPr>
            </w:pPr>
          </w:p>
        </w:tc>
        <w:tc>
          <w:tcPr>
            <w:tcW w:w="1133" w:type="dxa"/>
            <w:tcBorders>
              <w:bottom w:val="single" w:sz="4" w:space="0" w:color="auto"/>
            </w:tcBorders>
            <w:tcMar>
              <w:top w:w="85" w:type="dxa"/>
              <w:bottom w:w="85" w:type="dxa"/>
            </w:tcMar>
          </w:tcPr>
          <w:p w14:paraId="3B716B46" w14:textId="4DF0F051" w:rsidR="00D25E85" w:rsidRPr="009C2DDC" w:rsidRDefault="00D25E85"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77337/9</w:t>
            </w:r>
          </w:p>
        </w:tc>
        <w:tc>
          <w:tcPr>
            <w:tcW w:w="2125" w:type="dxa"/>
            <w:tcBorders>
              <w:bottom w:val="single" w:sz="4" w:space="0" w:color="auto"/>
            </w:tcBorders>
            <w:tcMar>
              <w:top w:w="85" w:type="dxa"/>
              <w:bottom w:w="85" w:type="dxa"/>
            </w:tcMar>
          </w:tcPr>
          <w:p w14:paraId="2F403343" w14:textId="77777777" w:rsidR="00D25E85" w:rsidRPr="009C2DDC" w:rsidRDefault="00D25E85"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A Transformative Agenda for Women, Adolescents and Youth in the Pacific: Towards Zero Unmet Need for Planning 2018 – 2022 (Phase 2)</w:t>
            </w:r>
          </w:p>
          <w:p w14:paraId="4CFB5107" w14:textId="77777777" w:rsidR="00D25E85" w:rsidRPr="009C2DDC" w:rsidRDefault="00D25E85"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p w14:paraId="092D2830" w14:textId="60606284" w:rsidR="00D25E85" w:rsidRPr="009C2DDC" w:rsidRDefault="00D25E85"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sz w:val="20"/>
                <w:szCs w:val="20"/>
              </w:rPr>
              <w:t>(United Nations Population Fund (UNFPA))</w:t>
            </w:r>
          </w:p>
        </w:tc>
        <w:tc>
          <w:tcPr>
            <w:tcW w:w="3117" w:type="dxa"/>
            <w:tcBorders>
              <w:bottom w:val="single" w:sz="4" w:space="0" w:color="auto"/>
            </w:tcBorders>
            <w:tcMar>
              <w:top w:w="85" w:type="dxa"/>
              <w:bottom w:w="85" w:type="dxa"/>
            </w:tcMar>
          </w:tcPr>
          <w:p w14:paraId="246B5F0E" w14:textId="6CB04E26" w:rsidR="00D25E85" w:rsidRPr="009C2DDC" w:rsidRDefault="00D25E85"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bCs/>
                <w:sz w:val="20"/>
                <w:szCs w:val="20"/>
              </w:rPr>
              <w:t>The project aims to improve access to quality sexual and reproductive health and rights (SRHR) information and services, with a particular focus on family planning. It seeks to increase the availability of integrated SRHR services for both the general population and marginalised groups, while also driving greater demand for SRHR information. Additionally, the project works to create a more supportive environment that empowers vulnerable communities to access and benefit from SRHR services, with a specific emphasis on expanding contraceptive choice.</w:t>
            </w:r>
          </w:p>
        </w:tc>
        <w:tc>
          <w:tcPr>
            <w:tcW w:w="1700" w:type="dxa"/>
            <w:tcBorders>
              <w:bottom w:val="single" w:sz="4" w:space="0" w:color="auto"/>
            </w:tcBorders>
            <w:tcMar>
              <w:top w:w="85" w:type="dxa"/>
              <w:bottom w:w="85" w:type="dxa"/>
            </w:tcMar>
          </w:tcPr>
          <w:p w14:paraId="42B2ECBC" w14:textId="77777777" w:rsidR="00D25E85" w:rsidRPr="009C2DDC" w:rsidRDefault="00D25E85" w:rsidP="006978D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9C2DDC">
              <w:rPr>
                <w:rFonts w:asciiTheme="majorHAnsi" w:hAnsiTheme="majorHAnsi" w:cstheme="majorHAnsi"/>
                <w:color w:val="000000"/>
                <w:sz w:val="20"/>
                <w:szCs w:val="20"/>
              </w:rPr>
              <w:t>$42,500,000</w:t>
            </w:r>
          </w:p>
          <w:p w14:paraId="6530B58C" w14:textId="77777777" w:rsidR="00D25E85" w:rsidRPr="009C2DDC" w:rsidRDefault="00D25E85"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p w14:paraId="18B1A01E" w14:textId="64093B86" w:rsidR="00D25E85" w:rsidRPr="009C2DDC" w:rsidRDefault="00D25E85"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2022</w:t>
            </w:r>
            <w:r w:rsidR="00DE0B2B">
              <w:rPr>
                <w:rFonts w:asciiTheme="majorHAnsi" w:hAnsiTheme="majorHAnsi" w:cstheme="majorHAnsi"/>
                <w:bCs/>
                <w:sz w:val="20"/>
                <w:szCs w:val="20"/>
              </w:rPr>
              <w:t xml:space="preserve"> </w:t>
            </w:r>
            <w:r w:rsidRPr="009C2DDC">
              <w:rPr>
                <w:rFonts w:asciiTheme="majorHAnsi" w:hAnsiTheme="majorHAnsi" w:cstheme="majorHAnsi"/>
                <w:bCs/>
                <w:sz w:val="20"/>
                <w:szCs w:val="20"/>
              </w:rPr>
              <w:t>–</w:t>
            </w:r>
            <w:r w:rsidR="00DE0B2B">
              <w:rPr>
                <w:rFonts w:asciiTheme="majorHAnsi" w:hAnsiTheme="majorHAnsi" w:cstheme="majorHAnsi"/>
                <w:bCs/>
                <w:sz w:val="20"/>
                <w:szCs w:val="20"/>
              </w:rPr>
              <w:t xml:space="preserve"> </w:t>
            </w:r>
            <w:r w:rsidRPr="009C2DDC">
              <w:rPr>
                <w:rFonts w:asciiTheme="majorHAnsi" w:hAnsiTheme="majorHAnsi" w:cstheme="majorHAnsi"/>
                <w:bCs/>
                <w:sz w:val="20"/>
                <w:szCs w:val="20"/>
              </w:rPr>
              <w:t>2028</w:t>
            </w:r>
          </w:p>
          <w:p w14:paraId="462A569B" w14:textId="77777777" w:rsidR="00D25E85" w:rsidRPr="009C2DDC" w:rsidRDefault="00D25E85"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tc>
        <w:tc>
          <w:tcPr>
            <w:tcW w:w="1388" w:type="dxa"/>
            <w:tcBorders>
              <w:bottom w:val="single" w:sz="4" w:space="0" w:color="auto"/>
            </w:tcBorders>
          </w:tcPr>
          <w:p w14:paraId="61494CD3" w14:textId="715853B8" w:rsidR="00D25E85" w:rsidRPr="009C2DDC" w:rsidRDefault="00D25E85"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Ongoing</w:t>
            </w:r>
          </w:p>
        </w:tc>
      </w:tr>
      <w:tr w:rsidR="00191646" w:rsidRPr="00846EE2" w14:paraId="5F20E54C" w14:textId="77777777" w:rsidTr="6643C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Mar>
              <w:top w:w="85" w:type="dxa"/>
              <w:bottom w:w="85" w:type="dxa"/>
            </w:tcMar>
          </w:tcPr>
          <w:p w14:paraId="1B79ED70" w14:textId="30F1572F" w:rsidR="00D25E85" w:rsidRPr="00846EE2" w:rsidRDefault="00D25E85" w:rsidP="006978D8">
            <w:pPr>
              <w:spacing w:line="276" w:lineRule="auto"/>
              <w:rPr>
                <w:rFonts w:ascii="Arial" w:hAnsi="Arial" w:cs="Arial"/>
                <w:sz w:val="20"/>
                <w:szCs w:val="20"/>
              </w:rPr>
            </w:pPr>
            <w:r>
              <w:rPr>
                <w:rFonts w:ascii="Arial" w:hAnsi="Arial" w:cs="Arial"/>
                <w:sz w:val="20"/>
                <w:szCs w:val="20"/>
              </w:rPr>
              <w:lastRenderedPageBreak/>
              <w:t>2</w:t>
            </w:r>
          </w:p>
        </w:tc>
        <w:tc>
          <w:tcPr>
            <w:tcW w:w="1133" w:type="dxa"/>
            <w:tcBorders>
              <w:top w:val="single" w:sz="4" w:space="0" w:color="auto"/>
            </w:tcBorders>
            <w:tcMar>
              <w:top w:w="85" w:type="dxa"/>
              <w:bottom w:w="85" w:type="dxa"/>
            </w:tcMar>
          </w:tcPr>
          <w:p w14:paraId="2F96A593" w14:textId="77777777" w:rsidR="00D25E85" w:rsidRPr="00846EE2" w:rsidRDefault="00D25E85"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46EE2">
              <w:rPr>
                <w:rFonts w:ascii="Arial" w:hAnsi="Arial" w:cs="Arial"/>
                <w:bCs/>
                <w:sz w:val="20"/>
                <w:szCs w:val="20"/>
              </w:rPr>
              <w:t>72410/14</w:t>
            </w:r>
          </w:p>
          <w:p w14:paraId="51004C21" w14:textId="77777777" w:rsidR="00D25E85" w:rsidRDefault="00D25E85"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687C9689" w14:textId="77777777" w:rsidR="00D25E85" w:rsidRDefault="00D25E85" w:rsidP="006978D8">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15AC19C" w14:textId="77777777" w:rsidR="00D25E85" w:rsidRPr="00D25E85" w:rsidRDefault="00D25E85" w:rsidP="006978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25" w:type="dxa"/>
            <w:tcBorders>
              <w:top w:val="single" w:sz="4" w:space="0" w:color="auto"/>
            </w:tcBorders>
            <w:tcMar>
              <w:top w:w="85" w:type="dxa"/>
              <w:bottom w:w="85" w:type="dxa"/>
            </w:tcMar>
          </w:tcPr>
          <w:p w14:paraId="51C242E8" w14:textId="77777777" w:rsidR="00D25E85" w:rsidRPr="00846EE2" w:rsidRDefault="00D25E85"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846EE2">
              <w:rPr>
                <w:rFonts w:ascii="Arial" w:hAnsi="Arial" w:cs="Arial"/>
                <w:bCs/>
                <w:sz w:val="20"/>
                <w:szCs w:val="20"/>
                <w:lang w:val="en-US"/>
              </w:rPr>
              <w:t xml:space="preserve">Child Protection in Kiribati, Solomon Islands and Vanuatu </w:t>
            </w:r>
          </w:p>
          <w:p w14:paraId="248D91D4" w14:textId="77777777" w:rsidR="00D25E85" w:rsidRPr="00846EE2" w:rsidRDefault="00D25E85"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p w14:paraId="662039CC" w14:textId="00ED8863" w:rsidR="00D25E85" w:rsidRPr="00846EE2" w:rsidRDefault="00897FE6"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sz w:val="20"/>
                <w:szCs w:val="20"/>
                <w:lang w:val="en-US"/>
              </w:rPr>
              <w:t xml:space="preserve">United Nations Children’s Fund </w:t>
            </w:r>
            <w:r w:rsidRPr="005F3105">
              <w:rPr>
                <w:rFonts w:ascii="Arial" w:hAnsi="Arial" w:cs="Arial"/>
                <w:sz w:val="20"/>
                <w:szCs w:val="20"/>
                <w:lang w:val="en-US"/>
              </w:rPr>
              <w:t>(UNICEF)</w:t>
            </w:r>
            <w:r>
              <w:rPr>
                <w:rFonts w:ascii="Arial" w:hAnsi="Arial" w:cs="Arial"/>
                <w:sz w:val="20"/>
                <w:szCs w:val="20"/>
                <w:lang w:val="en-US"/>
              </w:rPr>
              <w:t>)</w:t>
            </w:r>
          </w:p>
        </w:tc>
        <w:tc>
          <w:tcPr>
            <w:tcW w:w="3117" w:type="dxa"/>
            <w:tcBorders>
              <w:top w:val="single" w:sz="4" w:space="0" w:color="auto"/>
            </w:tcBorders>
            <w:tcMar>
              <w:top w:w="85" w:type="dxa"/>
              <w:bottom w:w="85" w:type="dxa"/>
            </w:tcMar>
          </w:tcPr>
          <w:p w14:paraId="7D562165" w14:textId="344C1B5E" w:rsidR="00D25E85" w:rsidRPr="00846EE2" w:rsidRDefault="00D25E85"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46EE2">
              <w:rPr>
                <w:rFonts w:ascii="Arial" w:hAnsi="Arial" w:cs="Arial"/>
                <w:sz w:val="20"/>
                <w:szCs w:val="20"/>
              </w:rPr>
              <w:t xml:space="preserve">The UNICEF Pacific Child Protection Programme supports 14 Pacific Island countries and territories, aiming to enhance protection for children against violence, abuse, neglect, and exploitation. The programme works to strengthen child protection frameworks within governments, particularly in target countries, and enhance the capacities of service providers, including NGOs, to prevent and respond to child abuse. It also focuses on increasing the knowledge and skills of parents, caregivers, and teachers to eliminate harmful practices and better protect children. The </w:t>
            </w:r>
            <w:r w:rsidR="001060C4" w:rsidRPr="00846EE2">
              <w:rPr>
                <w:rFonts w:ascii="Arial" w:hAnsi="Arial" w:cs="Arial"/>
                <w:sz w:val="20"/>
                <w:szCs w:val="20"/>
              </w:rPr>
              <w:t>goal</w:t>
            </w:r>
            <w:r w:rsidRPr="00846EE2">
              <w:rPr>
                <w:rFonts w:ascii="Arial" w:hAnsi="Arial" w:cs="Arial"/>
                <w:sz w:val="20"/>
                <w:szCs w:val="20"/>
              </w:rPr>
              <w:t xml:space="preserve"> is to ensure children in the Pacific are better protected from abuse and psychological distress, even in emergencies.</w:t>
            </w:r>
          </w:p>
        </w:tc>
        <w:tc>
          <w:tcPr>
            <w:tcW w:w="1700" w:type="dxa"/>
            <w:tcBorders>
              <w:top w:val="single" w:sz="4" w:space="0" w:color="auto"/>
            </w:tcBorders>
            <w:tcMar>
              <w:top w:w="85" w:type="dxa"/>
              <w:bottom w:w="85" w:type="dxa"/>
            </w:tcMar>
          </w:tcPr>
          <w:p w14:paraId="6C4C1B2C" w14:textId="77777777" w:rsidR="00D25E85" w:rsidRPr="00846EE2" w:rsidRDefault="00D25E85"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46EE2">
              <w:rPr>
                <w:rFonts w:ascii="Arial" w:hAnsi="Arial" w:cs="Arial"/>
                <w:bCs/>
                <w:sz w:val="20"/>
                <w:szCs w:val="20"/>
              </w:rPr>
              <w:t>$3,542,280</w:t>
            </w:r>
          </w:p>
          <w:p w14:paraId="3EBB4E03" w14:textId="77777777" w:rsidR="00D25E85" w:rsidRPr="00846EE2" w:rsidRDefault="00D25E85"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32AC99A4" w14:textId="07FAA658" w:rsidR="00D25E85" w:rsidRPr="00846EE2" w:rsidRDefault="00D25E85"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46EE2">
              <w:rPr>
                <w:rFonts w:ascii="Arial" w:hAnsi="Arial" w:cs="Arial"/>
                <w:bCs/>
                <w:sz w:val="20"/>
                <w:szCs w:val="20"/>
              </w:rPr>
              <w:t>2021</w:t>
            </w:r>
            <w:r w:rsidR="00DE0B2B">
              <w:rPr>
                <w:rFonts w:ascii="Arial" w:hAnsi="Arial" w:cs="Arial"/>
                <w:bCs/>
                <w:sz w:val="20"/>
                <w:szCs w:val="20"/>
              </w:rPr>
              <w:t xml:space="preserve"> </w:t>
            </w:r>
            <w:r w:rsidRPr="00846EE2">
              <w:rPr>
                <w:rFonts w:ascii="Arial" w:hAnsi="Arial" w:cs="Arial"/>
                <w:bCs/>
                <w:sz w:val="20"/>
                <w:szCs w:val="20"/>
              </w:rPr>
              <w:t>–</w:t>
            </w:r>
            <w:r w:rsidR="00DE0B2B">
              <w:rPr>
                <w:rFonts w:ascii="Arial" w:hAnsi="Arial" w:cs="Arial"/>
                <w:bCs/>
                <w:sz w:val="20"/>
                <w:szCs w:val="20"/>
              </w:rPr>
              <w:t xml:space="preserve"> </w:t>
            </w:r>
            <w:r w:rsidRPr="00846EE2">
              <w:rPr>
                <w:rFonts w:ascii="Arial" w:hAnsi="Arial" w:cs="Arial"/>
                <w:bCs/>
                <w:sz w:val="20"/>
                <w:szCs w:val="20"/>
              </w:rPr>
              <w:t>2024</w:t>
            </w:r>
          </w:p>
        </w:tc>
        <w:tc>
          <w:tcPr>
            <w:tcW w:w="1388" w:type="dxa"/>
            <w:tcBorders>
              <w:top w:val="single" w:sz="4" w:space="0" w:color="auto"/>
            </w:tcBorders>
          </w:tcPr>
          <w:p w14:paraId="228EE62C" w14:textId="2DAB5D2E" w:rsidR="00D25E85" w:rsidRPr="00846EE2" w:rsidRDefault="00D25E85"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46EE2">
              <w:rPr>
                <w:rFonts w:ascii="Arial" w:hAnsi="Arial" w:cs="Arial"/>
                <w:bCs/>
                <w:sz w:val="20"/>
                <w:szCs w:val="20"/>
              </w:rPr>
              <w:t>Completed</w:t>
            </w:r>
          </w:p>
        </w:tc>
      </w:tr>
      <w:tr w:rsidR="00CE74AD" w:rsidRPr="00846EE2" w14:paraId="12204A22" w14:textId="77777777" w:rsidTr="6643C3DA">
        <w:tc>
          <w:tcPr>
            <w:cnfStyle w:val="001000000000" w:firstRow="0" w:lastRow="0" w:firstColumn="1" w:lastColumn="0" w:oddVBand="0" w:evenVBand="0" w:oddHBand="0" w:evenHBand="0" w:firstRowFirstColumn="0" w:firstRowLastColumn="0" w:lastRowFirstColumn="0" w:lastRowLastColumn="0"/>
            <w:tcW w:w="568" w:type="dxa"/>
            <w:tcMar>
              <w:top w:w="85" w:type="dxa"/>
              <w:bottom w:w="85" w:type="dxa"/>
            </w:tcMar>
          </w:tcPr>
          <w:p w14:paraId="65E427F4" w14:textId="77777777" w:rsidR="008A4DE3" w:rsidRDefault="008A4DE3" w:rsidP="006978D8">
            <w:pPr>
              <w:spacing w:line="276" w:lineRule="auto"/>
              <w:rPr>
                <w:rFonts w:ascii="Arial" w:hAnsi="Arial" w:cs="Arial"/>
                <w:sz w:val="20"/>
                <w:szCs w:val="20"/>
              </w:rPr>
            </w:pPr>
          </w:p>
        </w:tc>
        <w:tc>
          <w:tcPr>
            <w:tcW w:w="1133" w:type="dxa"/>
            <w:tcMar>
              <w:top w:w="85" w:type="dxa"/>
              <w:bottom w:w="85" w:type="dxa"/>
            </w:tcMar>
          </w:tcPr>
          <w:p w14:paraId="7CDD9BD8" w14:textId="6F03707D" w:rsidR="008A4DE3" w:rsidRPr="00846EE2" w:rsidRDefault="008A4DE3" w:rsidP="006978D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707C6">
              <w:rPr>
                <w:rFonts w:asciiTheme="majorHAnsi" w:hAnsiTheme="majorHAnsi" w:cstheme="majorHAnsi"/>
                <w:sz w:val="20"/>
                <w:szCs w:val="20"/>
              </w:rPr>
              <w:t>77336/36</w:t>
            </w:r>
          </w:p>
        </w:tc>
        <w:tc>
          <w:tcPr>
            <w:tcW w:w="2125" w:type="dxa"/>
            <w:tcMar>
              <w:top w:w="85" w:type="dxa"/>
              <w:bottom w:w="85" w:type="dxa"/>
            </w:tcMar>
          </w:tcPr>
          <w:p w14:paraId="71FF5009" w14:textId="77777777" w:rsidR="008A4DE3" w:rsidRDefault="008A4DE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A707C6">
              <w:rPr>
                <w:rFonts w:asciiTheme="majorHAnsi" w:hAnsiTheme="majorHAnsi" w:cstheme="majorHAnsi"/>
                <w:sz w:val="20"/>
                <w:szCs w:val="20"/>
                <w:lang w:val="en-US"/>
              </w:rPr>
              <w:t>UNICEF Multi-country Pacific Child Protection Program</w:t>
            </w:r>
          </w:p>
          <w:p w14:paraId="6AAE675F" w14:textId="77777777" w:rsidR="008A4DE3" w:rsidRDefault="008A4DE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A707C6">
              <w:rPr>
                <w:rFonts w:asciiTheme="majorHAnsi" w:hAnsiTheme="majorHAnsi" w:cstheme="majorHAnsi"/>
                <w:sz w:val="20"/>
                <w:szCs w:val="20"/>
                <w:lang w:val="en-US"/>
              </w:rPr>
              <w:t>Fiji, Kiribati, Samoa, Solomon Islands, Tonga, and Vanuatu</w:t>
            </w:r>
          </w:p>
          <w:p w14:paraId="3FC09C53" w14:textId="77777777" w:rsidR="008A4DE3" w:rsidRDefault="008A4DE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5CB0B65C" w14:textId="5B39FCCF" w:rsidR="008A4DE3" w:rsidRPr="00846EE2" w:rsidRDefault="008A4DE3" w:rsidP="006978D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Pr>
                <w:rFonts w:asciiTheme="majorHAnsi" w:hAnsiTheme="majorHAnsi" w:cstheme="majorHAnsi"/>
                <w:sz w:val="20"/>
                <w:szCs w:val="20"/>
                <w:lang w:val="en-US"/>
              </w:rPr>
              <w:t>(UNICEF)</w:t>
            </w:r>
          </w:p>
        </w:tc>
        <w:tc>
          <w:tcPr>
            <w:tcW w:w="3117" w:type="dxa"/>
            <w:tcMar>
              <w:top w:w="85" w:type="dxa"/>
              <w:bottom w:w="85" w:type="dxa"/>
            </w:tcMar>
          </w:tcPr>
          <w:p w14:paraId="0250E23C" w14:textId="5AA4772D" w:rsidR="008A4DE3" w:rsidRPr="00846EE2" w:rsidRDefault="008A4DE3" w:rsidP="006978D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707C6">
              <w:rPr>
                <w:rFonts w:asciiTheme="majorHAnsi" w:hAnsiTheme="majorHAnsi" w:cstheme="majorHAnsi"/>
                <w:sz w:val="20"/>
                <w:szCs w:val="20"/>
              </w:rPr>
              <w:t>The UNICEF Pacific Child Protection Programme supports 14 Pacific Island countries and territories, aiming to enhance protection for children against violence, abuse, neglect, and exploitation. The programme works to strengthen child protection frameworks within governments, particularly in target countries, and enhance the capacities of service providers, including NGOs, to prevent and respond to child abuse. It also focuses on increasing the knowledge and skills of parents, caregivers, and teachers to eliminate harmful practices and better protect children. The ultimate goal is to ensure children in the Pacific are better protected from abuse and psychological distress, even in emergencies.</w:t>
            </w:r>
          </w:p>
        </w:tc>
        <w:tc>
          <w:tcPr>
            <w:tcW w:w="1700" w:type="dxa"/>
            <w:tcMar>
              <w:top w:w="85" w:type="dxa"/>
              <w:bottom w:w="85" w:type="dxa"/>
            </w:tcMar>
          </w:tcPr>
          <w:p w14:paraId="24AD8A36" w14:textId="77777777" w:rsidR="008A4DE3" w:rsidRDefault="008A4DE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70C08">
              <w:rPr>
                <w:rFonts w:asciiTheme="majorHAnsi" w:hAnsiTheme="majorHAnsi" w:cstheme="majorHAnsi"/>
                <w:sz w:val="20"/>
                <w:szCs w:val="20"/>
              </w:rPr>
              <w:t>$6,300,000</w:t>
            </w:r>
          </w:p>
          <w:p w14:paraId="309C017A" w14:textId="77777777" w:rsidR="008A4DE3" w:rsidRDefault="008A4DE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403C01B" w14:textId="6BF16036" w:rsidR="008A4DE3" w:rsidRPr="00846EE2" w:rsidRDefault="008A4DE3" w:rsidP="006978D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Theme="majorHAnsi" w:hAnsiTheme="majorHAnsi" w:cstheme="majorHAnsi"/>
                <w:sz w:val="20"/>
                <w:szCs w:val="20"/>
              </w:rPr>
              <w:t>2025 – 2028</w:t>
            </w:r>
          </w:p>
        </w:tc>
        <w:tc>
          <w:tcPr>
            <w:tcW w:w="1388" w:type="dxa"/>
          </w:tcPr>
          <w:p w14:paraId="4EEDC15F" w14:textId="2604EEFB" w:rsidR="008A4DE3" w:rsidRPr="00846EE2" w:rsidRDefault="008A4DE3" w:rsidP="006978D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Theme="majorHAnsi" w:hAnsiTheme="majorHAnsi" w:cstheme="majorHAnsi"/>
                <w:sz w:val="20"/>
                <w:szCs w:val="20"/>
              </w:rPr>
              <w:t>Ongoing</w:t>
            </w:r>
          </w:p>
        </w:tc>
      </w:tr>
      <w:tr w:rsidR="006935B5" w:rsidRPr="006E0D13" w14:paraId="36EB4158" w14:textId="77777777" w:rsidTr="00491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1E8433D0" w14:textId="0B88C8CD" w:rsidR="008A4DE3" w:rsidRPr="009C2DDC" w:rsidRDefault="006978D0" w:rsidP="006978D8">
            <w:pPr>
              <w:spacing w:line="276" w:lineRule="auto"/>
              <w:rPr>
                <w:rFonts w:asciiTheme="majorHAnsi" w:hAnsiTheme="majorHAnsi" w:cstheme="majorHAnsi"/>
                <w:sz w:val="20"/>
                <w:szCs w:val="20"/>
              </w:rPr>
            </w:pPr>
            <w:r>
              <w:rPr>
                <w:rFonts w:asciiTheme="majorHAnsi" w:hAnsiTheme="majorHAnsi" w:cstheme="majorHAnsi"/>
                <w:sz w:val="20"/>
                <w:szCs w:val="20"/>
              </w:rPr>
              <w:t>3</w:t>
            </w:r>
          </w:p>
        </w:tc>
        <w:tc>
          <w:tcPr>
            <w:tcW w:w="1133" w:type="dxa"/>
            <w:tcMar>
              <w:top w:w="85" w:type="dxa"/>
              <w:bottom w:w="85" w:type="dxa"/>
            </w:tcMar>
          </w:tcPr>
          <w:p w14:paraId="50C47732" w14:textId="77777777" w:rsidR="008A4DE3" w:rsidRPr="009C2DDC" w:rsidRDefault="008A4DE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77520</w:t>
            </w:r>
          </w:p>
          <w:p w14:paraId="1C1DA1B1" w14:textId="77777777" w:rsidR="008A4DE3" w:rsidRPr="009C2DDC" w:rsidRDefault="008A4DE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tc>
        <w:tc>
          <w:tcPr>
            <w:tcW w:w="2125" w:type="dxa"/>
            <w:tcMar>
              <w:top w:w="85" w:type="dxa"/>
              <w:bottom w:w="85" w:type="dxa"/>
            </w:tcMar>
          </w:tcPr>
          <w:p w14:paraId="37D0C5B0" w14:textId="77777777" w:rsidR="008A4DE3" w:rsidRPr="009C2DDC" w:rsidRDefault="008A4DE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 xml:space="preserve">Gender responsive Climate Policy and Women’s Climate </w:t>
            </w:r>
            <w:r w:rsidRPr="009C2DDC">
              <w:rPr>
                <w:rFonts w:asciiTheme="majorHAnsi" w:hAnsiTheme="majorHAnsi" w:cstheme="majorHAnsi"/>
                <w:bCs/>
                <w:sz w:val="20"/>
                <w:szCs w:val="20"/>
              </w:rPr>
              <w:lastRenderedPageBreak/>
              <w:t xml:space="preserve">Leadership in the Pacific </w:t>
            </w:r>
          </w:p>
          <w:p w14:paraId="5F3CC83A" w14:textId="77777777" w:rsidR="008A4DE3" w:rsidRPr="009C2DDC" w:rsidRDefault="008A4DE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p w14:paraId="39DA4A5D" w14:textId="77777777" w:rsidR="008A4DE3" w:rsidRPr="009C2DDC" w:rsidRDefault="008A4DE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(Women’s Environment and Development Organisation)</w:t>
            </w:r>
          </w:p>
        </w:tc>
        <w:tc>
          <w:tcPr>
            <w:tcW w:w="3117" w:type="dxa"/>
            <w:tcMar>
              <w:top w:w="85" w:type="dxa"/>
              <w:bottom w:w="85" w:type="dxa"/>
            </w:tcMar>
          </w:tcPr>
          <w:p w14:paraId="06639DD7" w14:textId="77777777" w:rsidR="008A4DE3" w:rsidRPr="009C2DDC" w:rsidRDefault="008A4DE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lastRenderedPageBreak/>
              <w:t xml:space="preserve">This project sought to advance Pacific women’s leadership in climate change decision-making through WEDO’s Women </w:t>
            </w:r>
            <w:r w:rsidRPr="009C2DDC">
              <w:rPr>
                <w:rFonts w:asciiTheme="majorHAnsi" w:hAnsiTheme="majorHAnsi" w:cstheme="majorHAnsi"/>
                <w:bCs/>
                <w:sz w:val="20"/>
                <w:szCs w:val="20"/>
              </w:rPr>
              <w:lastRenderedPageBreak/>
              <w:t>Delegates Fund (WDF) program. By providing funding and capacity-building opportunities, the WDF enabled Pacific women to engage meaningfully in global climate discussions, ensuring their perspectives were reflected in critical decision-making processes. The project also aimed to enhance gender-responsive climate policy in the Pacific by strengthening the capacity of National Gender and Climate Change Focal Points through targeted training and resources to support the integration of gender considerations into national climate policies and strategies.</w:t>
            </w:r>
          </w:p>
        </w:tc>
        <w:tc>
          <w:tcPr>
            <w:tcW w:w="1700" w:type="dxa"/>
            <w:tcMar>
              <w:top w:w="85" w:type="dxa"/>
              <w:bottom w:w="85" w:type="dxa"/>
            </w:tcMar>
          </w:tcPr>
          <w:p w14:paraId="36AB0298" w14:textId="77777777" w:rsidR="008A4DE3" w:rsidRPr="009C2DDC" w:rsidRDefault="008A4DE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lastRenderedPageBreak/>
              <w:t>$699,900</w:t>
            </w:r>
          </w:p>
          <w:p w14:paraId="598F519E" w14:textId="77777777" w:rsidR="008A4DE3" w:rsidRPr="009C2DDC" w:rsidRDefault="008A4DE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p w14:paraId="6A3AF06A" w14:textId="0ED50226" w:rsidR="008A4DE3" w:rsidRPr="009C2DDC" w:rsidRDefault="008A4DE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2022</w:t>
            </w:r>
            <w:r w:rsidR="00DE0B2B" w:rsidRPr="009C2DDC">
              <w:rPr>
                <w:rFonts w:asciiTheme="majorHAnsi" w:hAnsiTheme="majorHAnsi" w:cstheme="majorHAnsi"/>
                <w:bCs/>
                <w:sz w:val="20"/>
                <w:szCs w:val="20"/>
              </w:rPr>
              <w:t xml:space="preserve"> </w:t>
            </w:r>
            <w:r w:rsidRPr="009C2DDC">
              <w:rPr>
                <w:rFonts w:asciiTheme="majorHAnsi" w:hAnsiTheme="majorHAnsi" w:cstheme="majorHAnsi"/>
                <w:bCs/>
                <w:sz w:val="20"/>
                <w:szCs w:val="20"/>
              </w:rPr>
              <w:t>–</w:t>
            </w:r>
            <w:r w:rsidR="00DE0B2B" w:rsidRPr="009C2DDC">
              <w:rPr>
                <w:rFonts w:asciiTheme="majorHAnsi" w:hAnsiTheme="majorHAnsi" w:cstheme="majorHAnsi"/>
                <w:bCs/>
                <w:sz w:val="20"/>
                <w:szCs w:val="20"/>
              </w:rPr>
              <w:t xml:space="preserve"> </w:t>
            </w:r>
            <w:r w:rsidRPr="009C2DDC">
              <w:rPr>
                <w:rFonts w:asciiTheme="majorHAnsi" w:hAnsiTheme="majorHAnsi" w:cstheme="majorHAnsi"/>
                <w:bCs/>
                <w:sz w:val="20"/>
                <w:szCs w:val="20"/>
              </w:rPr>
              <w:t>2024</w:t>
            </w:r>
          </w:p>
        </w:tc>
        <w:tc>
          <w:tcPr>
            <w:tcW w:w="1388" w:type="dxa"/>
          </w:tcPr>
          <w:p w14:paraId="7226006D" w14:textId="77777777" w:rsidR="008A4DE3" w:rsidRPr="009C2DDC" w:rsidRDefault="008A4DE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Completed</w:t>
            </w:r>
          </w:p>
        </w:tc>
      </w:tr>
      <w:tr w:rsidR="006935B5" w:rsidRPr="006978D0" w14:paraId="7C7BEBFE" w14:textId="77777777" w:rsidTr="00491EEE">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7F7F7F" w:themeColor="text1" w:themeTint="80"/>
              <w:bottom w:val="single" w:sz="4" w:space="0" w:color="auto"/>
            </w:tcBorders>
            <w:tcMar>
              <w:top w:w="85" w:type="dxa"/>
              <w:bottom w:w="85" w:type="dxa"/>
            </w:tcMar>
          </w:tcPr>
          <w:p w14:paraId="1B9F3325" w14:textId="752B6A93" w:rsidR="008A4DE3" w:rsidRPr="009C2DDC" w:rsidRDefault="006978D0" w:rsidP="006978D8">
            <w:pPr>
              <w:spacing w:line="276" w:lineRule="auto"/>
              <w:rPr>
                <w:rFonts w:asciiTheme="majorHAnsi" w:hAnsiTheme="majorHAnsi" w:cstheme="majorHAnsi"/>
                <w:sz w:val="20"/>
                <w:szCs w:val="20"/>
              </w:rPr>
            </w:pPr>
            <w:r>
              <w:rPr>
                <w:rFonts w:asciiTheme="majorHAnsi" w:hAnsiTheme="majorHAnsi" w:cstheme="majorHAnsi"/>
                <w:sz w:val="20"/>
                <w:szCs w:val="20"/>
              </w:rPr>
              <w:t>4</w:t>
            </w:r>
          </w:p>
        </w:tc>
        <w:tc>
          <w:tcPr>
            <w:tcW w:w="1133" w:type="dxa"/>
            <w:tcBorders>
              <w:top w:val="single" w:sz="4" w:space="0" w:color="7F7F7F" w:themeColor="text1" w:themeTint="80"/>
              <w:bottom w:val="single" w:sz="4" w:space="0" w:color="auto"/>
            </w:tcBorders>
            <w:tcMar>
              <w:top w:w="85" w:type="dxa"/>
              <w:bottom w:w="85" w:type="dxa"/>
            </w:tcMar>
          </w:tcPr>
          <w:p w14:paraId="4579DA99" w14:textId="77777777" w:rsidR="008A4DE3" w:rsidRPr="009C2DDC" w:rsidRDefault="008A4DE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73159/28</w:t>
            </w:r>
          </w:p>
          <w:p w14:paraId="6EC3F659" w14:textId="77777777" w:rsidR="008A4DE3" w:rsidRPr="009C2DDC" w:rsidRDefault="008A4DE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tc>
        <w:tc>
          <w:tcPr>
            <w:tcW w:w="2125" w:type="dxa"/>
            <w:tcBorders>
              <w:top w:val="single" w:sz="4" w:space="0" w:color="7F7F7F" w:themeColor="text1" w:themeTint="80"/>
              <w:bottom w:val="single" w:sz="4" w:space="0" w:color="auto"/>
            </w:tcBorders>
            <w:tcMar>
              <w:top w:w="85" w:type="dxa"/>
              <w:bottom w:w="85" w:type="dxa"/>
            </w:tcMar>
          </w:tcPr>
          <w:p w14:paraId="0F8759AC" w14:textId="222284F8" w:rsidR="008A4DE3" w:rsidRPr="009C2DDC" w:rsidRDefault="008A4DE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Markets for Change (M4C)</w:t>
            </w:r>
          </w:p>
          <w:p w14:paraId="57EB59DB" w14:textId="77777777" w:rsidR="008A4DE3" w:rsidRPr="009C2DDC" w:rsidRDefault="008A4DE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p w14:paraId="6ECE9B35" w14:textId="642B71F5" w:rsidR="008A4DE3" w:rsidRPr="009C2DDC" w:rsidRDefault="008A4DE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(UN Women)</w:t>
            </w:r>
          </w:p>
        </w:tc>
        <w:tc>
          <w:tcPr>
            <w:tcW w:w="3117" w:type="dxa"/>
            <w:tcBorders>
              <w:top w:val="single" w:sz="4" w:space="0" w:color="7F7F7F" w:themeColor="text1" w:themeTint="80"/>
              <w:bottom w:val="single" w:sz="4" w:space="0" w:color="auto"/>
            </w:tcBorders>
            <w:tcMar>
              <w:top w:w="85" w:type="dxa"/>
              <w:bottom w:w="85" w:type="dxa"/>
            </w:tcMar>
          </w:tcPr>
          <w:p w14:paraId="0725293B" w14:textId="77777777" w:rsidR="008A4DE3" w:rsidRPr="009C2DDC" w:rsidRDefault="008A4DE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sz w:val="20"/>
                <w:szCs w:val="20"/>
              </w:rPr>
              <w:t>M4C strengthens economic opportunities and safety for women market vendors across the Pacific. The project improves market infrastructure, providing secure accommodation, sanitation, and clean water while empowering women through leadership, financial literacy, and entrepreneurship training. By increasing women’s representation in market governance and decision-making, M4C enhances their economic security and community influence. The project is implemented in Fiji, the Solomon Islands, and Vanuatu.</w:t>
            </w:r>
          </w:p>
        </w:tc>
        <w:tc>
          <w:tcPr>
            <w:tcW w:w="1700" w:type="dxa"/>
            <w:tcBorders>
              <w:top w:val="single" w:sz="4" w:space="0" w:color="7F7F7F" w:themeColor="text1" w:themeTint="80"/>
              <w:bottom w:val="single" w:sz="4" w:space="0" w:color="auto"/>
            </w:tcBorders>
            <w:tcMar>
              <w:top w:w="85" w:type="dxa"/>
              <w:bottom w:w="85" w:type="dxa"/>
            </w:tcMar>
          </w:tcPr>
          <w:p w14:paraId="37AB8258" w14:textId="77777777" w:rsidR="008A4DE3" w:rsidRPr="009C2DDC" w:rsidRDefault="008A4DE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$9,951,871</w:t>
            </w:r>
            <w:r w:rsidRPr="009C2DDC">
              <w:rPr>
                <w:rStyle w:val="FootnoteReference"/>
                <w:rFonts w:asciiTheme="majorHAnsi" w:hAnsiTheme="majorHAnsi" w:cstheme="majorHAnsi"/>
                <w:bCs/>
                <w:sz w:val="20"/>
                <w:szCs w:val="20"/>
              </w:rPr>
              <w:footnoteReference w:id="4"/>
            </w:r>
          </w:p>
          <w:p w14:paraId="49B42F80" w14:textId="77777777" w:rsidR="008A4DE3" w:rsidRPr="009C2DDC" w:rsidRDefault="008A4DE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p w14:paraId="208F30EC" w14:textId="45976CAC" w:rsidR="008A4DE3" w:rsidRPr="009C2DDC" w:rsidRDefault="008A4DE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2022</w:t>
            </w:r>
            <w:r w:rsidR="00F86654">
              <w:rPr>
                <w:rFonts w:asciiTheme="majorHAnsi" w:hAnsiTheme="majorHAnsi" w:cstheme="majorHAnsi"/>
                <w:bCs/>
                <w:sz w:val="20"/>
                <w:szCs w:val="20"/>
              </w:rPr>
              <w:t xml:space="preserve"> </w:t>
            </w:r>
            <w:r w:rsidRPr="009C2DDC">
              <w:rPr>
                <w:rFonts w:asciiTheme="majorHAnsi" w:hAnsiTheme="majorHAnsi" w:cstheme="majorHAnsi"/>
                <w:bCs/>
                <w:sz w:val="20"/>
                <w:szCs w:val="20"/>
              </w:rPr>
              <w:t>–</w:t>
            </w:r>
            <w:r w:rsidR="00F86654">
              <w:rPr>
                <w:rFonts w:asciiTheme="majorHAnsi" w:hAnsiTheme="majorHAnsi" w:cstheme="majorHAnsi"/>
                <w:bCs/>
                <w:sz w:val="20"/>
                <w:szCs w:val="20"/>
              </w:rPr>
              <w:t xml:space="preserve"> </w:t>
            </w:r>
            <w:r w:rsidRPr="009C2DDC">
              <w:rPr>
                <w:rFonts w:asciiTheme="majorHAnsi" w:hAnsiTheme="majorHAnsi" w:cstheme="majorHAnsi"/>
                <w:bCs/>
                <w:sz w:val="20"/>
                <w:szCs w:val="20"/>
              </w:rPr>
              <w:t>2026</w:t>
            </w:r>
          </w:p>
          <w:p w14:paraId="35805FB2" w14:textId="2EA2580F" w:rsidR="008A4DE3" w:rsidRPr="009C2DDC" w:rsidRDefault="008A4DE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tc>
        <w:tc>
          <w:tcPr>
            <w:tcW w:w="1388" w:type="dxa"/>
            <w:tcBorders>
              <w:top w:val="single" w:sz="4" w:space="0" w:color="7F7F7F" w:themeColor="text1" w:themeTint="80"/>
              <w:bottom w:val="single" w:sz="4" w:space="0" w:color="auto"/>
            </w:tcBorders>
          </w:tcPr>
          <w:p w14:paraId="18E3F6B3" w14:textId="77777777" w:rsidR="008A4DE3" w:rsidRPr="009C2DDC" w:rsidRDefault="008A4DE3"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Ongoing</w:t>
            </w:r>
          </w:p>
        </w:tc>
      </w:tr>
      <w:tr w:rsidR="006E3666" w:rsidRPr="006E0D13" w14:paraId="36C64EA5" w14:textId="77777777" w:rsidTr="6643C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Mar>
              <w:top w:w="85" w:type="dxa"/>
              <w:bottom w:w="85" w:type="dxa"/>
            </w:tcMar>
          </w:tcPr>
          <w:p w14:paraId="7CD0CCA8" w14:textId="7C3BCCE2" w:rsidR="008A4DE3" w:rsidRPr="009C2DDC" w:rsidRDefault="006978D0" w:rsidP="006978D8">
            <w:pPr>
              <w:spacing w:line="276" w:lineRule="auto"/>
              <w:rPr>
                <w:rFonts w:asciiTheme="majorHAnsi" w:hAnsiTheme="majorHAnsi" w:cstheme="majorHAnsi"/>
                <w:bCs w:val="0"/>
                <w:sz w:val="20"/>
                <w:szCs w:val="20"/>
              </w:rPr>
            </w:pPr>
            <w:r>
              <w:rPr>
                <w:rFonts w:asciiTheme="majorHAnsi" w:hAnsiTheme="majorHAnsi" w:cstheme="majorHAnsi"/>
                <w:sz w:val="20"/>
                <w:szCs w:val="20"/>
              </w:rPr>
              <w:t>5</w:t>
            </w:r>
          </w:p>
          <w:p w14:paraId="3DE82BAB" w14:textId="6674F55C" w:rsidR="008A4DE3" w:rsidRPr="009C2DDC" w:rsidRDefault="008A4DE3" w:rsidP="006978D8">
            <w:pPr>
              <w:spacing w:line="276" w:lineRule="auto"/>
              <w:rPr>
                <w:rFonts w:asciiTheme="majorHAnsi" w:hAnsiTheme="majorHAnsi" w:cstheme="majorHAnsi"/>
                <w:sz w:val="20"/>
                <w:szCs w:val="20"/>
              </w:rPr>
            </w:pPr>
          </w:p>
        </w:tc>
        <w:tc>
          <w:tcPr>
            <w:tcW w:w="1133" w:type="dxa"/>
            <w:tcBorders>
              <w:top w:val="single" w:sz="4" w:space="0" w:color="auto"/>
              <w:bottom w:val="single" w:sz="4" w:space="0" w:color="auto"/>
            </w:tcBorders>
            <w:tcMar>
              <w:top w:w="85" w:type="dxa"/>
              <w:bottom w:w="85" w:type="dxa"/>
            </w:tcMar>
          </w:tcPr>
          <w:p w14:paraId="0EE01A76" w14:textId="77777777" w:rsidR="008A4DE3" w:rsidRPr="009C2DDC" w:rsidRDefault="008A4DE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74843</w:t>
            </w:r>
          </w:p>
          <w:p w14:paraId="4663E474" w14:textId="77777777" w:rsidR="008A4DE3" w:rsidRPr="009C2DDC" w:rsidRDefault="008A4DE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tc>
        <w:tc>
          <w:tcPr>
            <w:tcW w:w="2125" w:type="dxa"/>
            <w:tcBorders>
              <w:top w:val="single" w:sz="4" w:space="0" w:color="auto"/>
              <w:bottom w:val="single" w:sz="4" w:space="0" w:color="auto"/>
            </w:tcBorders>
            <w:tcMar>
              <w:top w:w="85" w:type="dxa"/>
              <w:bottom w:w="85" w:type="dxa"/>
            </w:tcMar>
          </w:tcPr>
          <w:p w14:paraId="768A26B8" w14:textId="77777777" w:rsidR="005F4351" w:rsidRPr="004E4774" w:rsidRDefault="005F4351"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r w:rsidRPr="004E4774">
              <w:rPr>
                <w:rFonts w:asciiTheme="majorHAnsi" w:hAnsiTheme="majorHAnsi" w:cstheme="majorHAnsi"/>
                <w:sz w:val="20"/>
                <w:szCs w:val="20"/>
                <w:lang w:val="en-GB"/>
              </w:rPr>
              <w:t>Core Funding to the IPPF Niu Vaka Pacific Strategy (2018 - 2022) Phase 1</w:t>
            </w:r>
          </w:p>
          <w:p w14:paraId="2CFC62D9" w14:textId="77777777" w:rsidR="005F4351" w:rsidRPr="004E4774" w:rsidRDefault="005F4351"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GB"/>
              </w:rPr>
            </w:pPr>
          </w:p>
          <w:p w14:paraId="4A58FE60" w14:textId="4497EC44" w:rsidR="008A4DE3" w:rsidRPr="009C2DDC" w:rsidRDefault="005F4351"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4E4774">
              <w:rPr>
                <w:rFonts w:asciiTheme="majorHAnsi" w:hAnsiTheme="majorHAnsi" w:cstheme="majorHAnsi"/>
                <w:sz w:val="20"/>
                <w:szCs w:val="20"/>
                <w:lang w:val="en-GB"/>
              </w:rPr>
              <w:t>(International Planned Parenthood Federation -IPPF)</w:t>
            </w:r>
          </w:p>
        </w:tc>
        <w:tc>
          <w:tcPr>
            <w:tcW w:w="3117" w:type="dxa"/>
            <w:tcBorders>
              <w:top w:val="single" w:sz="4" w:space="0" w:color="auto"/>
              <w:bottom w:val="single" w:sz="4" w:space="0" w:color="auto"/>
            </w:tcBorders>
            <w:tcMar>
              <w:top w:w="85" w:type="dxa"/>
              <w:bottom w:w="85" w:type="dxa"/>
            </w:tcMar>
          </w:tcPr>
          <w:p w14:paraId="53239781" w14:textId="77777777" w:rsidR="008A4DE3" w:rsidRPr="009C2DDC" w:rsidRDefault="008A4DE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bCs/>
                <w:sz w:val="20"/>
                <w:szCs w:val="20"/>
              </w:rPr>
              <w:t xml:space="preserve">The Niu Vaka Pacific Strategy provides a framework and guidance on a life course approach to SRHR in the Pacific. This entails broadening the focus from family planning to services across the life span from pregnancy and prenatal care and pre-menstruation through menopause. It also </w:t>
            </w:r>
            <w:r w:rsidRPr="009C2DDC">
              <w:rPr>
                <w:rFonts w:asciiTheme="majorHAnsi" w:hAnsiTheme="majorHAnsi" w:cstheme="majorHAnsi"/>
                <w:bCs/>
                <w:sz w:val="20"/>
                <w:szCs w:val="20"/>
              </w:rPr>
              <w:lastRenderedPageBreak/>
              <w:t>looks at critical factors for the Pacific including climate change, gender, disability, non-communicable diseases and sexual and gender-based violence.</w:t>
            </w:r>
          </w:p>
        </w:tc>
        <w:tc>
          <w:tcPr>
            <w:tcW w:w="1700" w:type="dxa"/>
            <w:tcBorders>
              <w:top w:val="single" w:sz="4" w:space="0" w:color="auto"/>
              <w:bottom w:val="single" w:sz="4" w:space="0" w:color="auto"/>
            </w:tcBorders>
            <w:tcMar>
              <w:top w:w="85" w:type="dxa"/>
              <w:bottom w:w="85" w:type="dxa"/>
            </w:tcMar>
          </w:tcPr>
          <w:p w14:paraId="1778244E" w14:textId="77777777" w:rsidR="008A4DE3" w:rsidRPr="009C2DDC" w:rsidRDefault="008A4DE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C2DDC">
              <w:rPr>
                <w:rFonts w:asciiTheme="majorHAnsi" w:hAnsiTheme="majorHAnsi" w:cstheme="majorHAnsi"/>
                <w:sz w:val="20"/>
                <w:szCs w:val="20"/>
                <w:lang w:val="en-US"/>
              </w:rPr>
              <w:lastRenderedPageBreak/>
              <w:t>$500,000</w:t>
            </w:r>
          </w:p>
          <w:p w14:paraId="77158226" w14:textId="77777777" w:rsidR="008A4DE3" w:rsidRPr="009C2DDC" w:rsidRDefault="008A4DE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0F2EE664" w14:textId="423F5908" w:rsidR="008A4DE3" w:rsidRPr="009C2DDC" w:rsidRDefault="008A4DE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sz w:val="20"/>
                <w:szCs w:val="20"/>
                <w:lang w:val="en-US"/>
              </w:rPr>
              <w:t>2021</w:t>
            </w:r>
            <w:r w:rsidR="005F4351" w:rsidRPr="009C2DDC">
              <w:rPr>
                <w:rFonts w:asciiTheme="majorHAnsi" w:hAnsiTheme="majorHAnsi" w:cstheme="majorHAnsi"/>
                <w:sz w:val="20"/>
                <w:szCs w:val="20"/>
                <w:lang w:val="en-US"/>
              </w:rPr>
              <w:t xml:space="preserve"> </w:t>
            </w:r>
            <w:r w:rsidRPr="009C2DDC">
              <w:rPr>
                <w:rFonts w:asciiTheme="majorHAnsi" w:hAnsiTheme="majorHAnsi" w:cstheme="majorHAnsi"/>
                <w:sz w:val="20"/>
                <w:szCs w:val="20"/>
                <w:lang w:val="en-US"/>
              </w:rPr>
              <w:t>–</w:t>
            </w:r>
            <w:r w:rsidR="005F4351" w:rsidRPr="009C2DDC">
              <w:rPr>
                <w:rFonts w:asciiTheme="majorHAnsi" w:hAnsiTheme="majorHAnsi" w:cstheme="majorHAnsi"/>
                <w:sz w:val="20"/>
                <w:szCs w:val="20"/>
                <w:lang w:val="en-US"/>
              </w:rPr>
              <w:t xml:space="preserve"> </w:t>
            </w:r>
            <w:r w:rsidRPr="009C2DDC">
              <w:rPr>
                <w:rFonts w:asciiTheme="majorHAnsi" w:hAnsiTheme="majorHAnsi" w:cstheme="majorHAnsi"/>
                <w:sz w:val="20"/>
                <w:szCs w:val="20"/>
                <w:lang w:val="en-US"/>
              </w:rPr>
              <w:t>2022</w:t>
            </w:r>
          </w:p>
        </w:tc>
        <w:tc>
          <w:tcPr>
            <w:tcW w:w="1388" w:type="dxa"/>
            <w:tcBorders>
              <w:top w:val="single" w:sz="4" w:space="0" w:color="auto"/>
              <w:bottom w:val="single" w:sz="4" w:space="0" w:color="auto"/>
            </w:tcBorders>
          </w:tcPr>
          <w:p w14:paraId="1549441A" w14:textId="77777777" w:rsidR="008A4DE3" w:rsidRPr="009C2DDC" w:rsidRDefault="008A4DE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Completed</w:t>
            </w:r>
          </w:p>
        </w:tc>
      </w:tr>
      <w:tr w:rsidR="006935B5" w:rsidRPr="00CE74AD" w14:paraId="000C62D3" w14:textId="77777777" w:rsidTr="00491EEE">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tcMar>
              <w:top w:w="85" w:type="dxa"/>
              <w:bottom w:w="85" w:type="dxa"/>
            </w:tcMar>
          </w:tcPr>
          <w:p w14:paraId="17C157ED" w14:textId="77777777" w:rsidR="004E4774" w:rsidRPr="009C2DDC" w:rsidRDefault="004E4774" w:rsidP="006978D8">
            <w:pPr>
              <w:spacing w:line="276" w:lineRule="auto"/>
              <w:rPr>
                <w:rFonts w:asciiTheme="majorHAnsi" w:hAnsiTheme="majorHAnsi" w:cstheme="majorHAnsi"/>
                <w:sz w:val="20"/>
                <w:szCs w:val="20"/>
              </w:rPr>
            </w:pPr>
          </w:p>
        </w:tc>
        <w:tc>
          <w:tcPr>
            <w:tcW w:w="0" w:type="dxa"/>
            <w:tcBorders>
              <w:top w:val="single" w:sz="4" w:space="0" w:color="auto"/>
              <w:bottom w:val="single" w:sz="4" w:space="0" w:color="auto"/>
            </w:tcBorders>
            <w:tcMar>
              <w:top w:w="85" w:type="dxa"/>
              <w:bottom w:w="85" w:type="dxa"/>
            </w:tcMar>
          </w:tcPr>
          <w:p w14:paraId="6F56F09E" w14:textId="68DC0CBD" w:rsidR="004E4774" w:rsidRPr="009C2DDC" w:rsidRDefault="004E477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77862</w:t>
            </w:r>
          </w:p>
        </w:tc>
        <w:tc>
          <w:tcPr>
            <w:tcW w:w="0" w:type="dxa"/>
            <w:tcBorders>
              <w:top w:val="single" w:sz="4" w:space="0" w:color="auto"/>
              <w:bottom w:val="single" w:sz="4" w:space="0" w:color="auto"/>
            </w:tcBorders>
            <w:tcMar>
              <w:top w:w="85" w:type="dxa"/>
              <w:bottom w:w="85" w:type="dxa"/>
            </w:tcMar>
          </w:tcPr>
          <w:p w14:paraId="5CE1A2F3" w14:textId="7B6A8A65" w:rsidR="004E4774" w:rsidRPr="009C2DDC" w:rsidRDefault="004E477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Core funding to the IPPF Global Strategic Framework (22-26) and Pacific Strategy (22-26)</w:t>
            </w:r>
            <w:r>
              <w:rPr>
                <w:rFonts w:asciiTheme="majorHAnsi" w:hAnsiTheme="majorHAnsi" w:cstheme="majorHAnsi"/>
                <w:bCs/>
                <w:sz w:val="20"/>
                <w:szCs w:val="20"/>
              </w:rPr>
              <w:t xml:space="preserve"> Phase 2</w:t>
            </w:r>
          </w:p>
          <w:p w14:paraId="57351A85" w14:textId="77777777" w:rsidR="004E4774" w:rsidRPr="009C2DDC" w:rsidRDefault="004E477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p w14:paraId="7559CF36" w14:textId="2B473CC8" w:rsidR="004E4774" w:rsidRPr="009C2DDC" w:rsidRDefault="004E477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(International Planned Parenthood Federation – IPPF)</w:t>
            </w:r>
          </w:p>
        </w:tc>
        <w:tc>
          <w:tcPr>
            <w:tcW w:w="0" w:type="dxa"/>
            <w:tcBorders>
              <w:top w:val="single" w:sz="4" w:space="0" w:color="auto"/>
              <w:bottom w:val="single" w:sz="4" w:space="0" w:color="auto"/>
            </w:tcBorders>
            <w:tcMar>
              <w:top w:w="85" w:type="dxa"/>
              <w:bottom w:w="85" w:type="dxa"/>
            </w:tcMar>
          </w:tcPr>
          <w:p w14:paraId="116F4787" w14:textId="66F37DAD" w:rsidR="004E4774" w:rsidRPr="009C2DDC" w:rsidRDefault="004E477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IPPF's Pacific Niu Vaka Strategy, Phase II aims to break down barriers and ensure quality sexual and reproductive health and rights (SRHR) are accessible to all in the Pacific. The project focuses on reaching the most marginalised and excluded groups with comprehensive SRHR information and services. It champions the voices of young people and leverages the power of movements and networks to advance SRHR across the region.</w:t>
            </w:r>
          </w:p>
        </w:tc>
        <w:tc>
          <w:tcPr>
            <w:tcW w:w="0" w:type="dxa"/>
            <w:tcBorders>
              <w:top w:val="single" w:sz="4" w:space="0" w:color="auto"/>
              <w:bottom w:val="single" w:sz="4" w:space="0" w:color="auto"/>
            </w:tcBorders>
            <w:tcMar>
              <w:top w:w="85" w:type="dxa"/>
              <w:bottom w:w="85" w:type="dxa"/>
            </w:tcMar>
          </w:tcPr>
          <w:p w14:paraId="26293875" w14:textId="77777777" w:rsidR="004E4774" w:rsidRPr="009C2DDC" w:rsidRDefault="004E477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$2,000,000</w:t>
            </w:r>
          </w:p>
          <w:p w14:paraId="1667957B" w14:textId="77777777" w:rsidR="004E4774" w:rsidRPr="009C2DDC" w:rsidRDefault="004E477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p w14:paraId="7517B1B9" w14:textId="1CABD134" w:rsidR="004E4774" w:rsidRPr="009C2DDC" w:rsidRDefault="004E477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2023</w:t>
            </w:r>
            <w:r w:rsidR="00C7401A">
              <w:rPr>
                <w:rFonts w:asciiTheme="majorHAnsi" w:hAnsiTheme="majorHAnsi" w:cstheme="majorHAnsi"/>
                <w:bCs/>
                <w:sz w:val="20"/>
                <w:szCs w:val="20"/>
              </w:rPr>
              <w:t xml:space="preserve"> </w:t>
            </w:r>
            <w:r w:rsidRPr="009C2DDC">
              <w:rPr>
                <w:rFonts w:asciiTheme="majorHAnsi" w:hAnsiTheme="majorHAnsi" w:cstheme="majorHAnsi"/>
                <w:bCs/>
                <w:sz w:val="20"/>
                <w:szCs w:val="20"/>
              </w:rPr>
              <w:t>–</w:t>
            </w:r>
            <w:r w:rsidR="00C7401A">
              <w:rPr>
                <w:rFonts w:asciiTheme="majorHAnsi" w:hAnsiTheme="majorHAnsi" w:cstheme="majorHAnsi"/>
                <w:bCs/>
                <w:sz w:val="20"/>
                <w:szCs w:val="20"/>
              </w:rPr>
              <w:t xml:space="preserve"> </w:t>
            </w:r>
            <w:r w:rsidRPr="009C2DDC">
              <w:rPr>
                <w:rFonts w:asciiTheme="majorHAnsi" w:hAnsiTheme="majorHAnsi" w:cstheme="majorHAnsi"/>
                <w:bCs/>
                <w:sz w:val="20"/>
                <w:szCs w:val="20"/>
              </w:rPr>
              <w:t>2026</w:t>
            </w:r>
          </w:p>
        </w:tc>
        <w:tc>
          <w:tcPr>
            <w:tcW w:w="0" w:type="dxa"/>
            <w:tcBorders>
              <w:top w:val="single" w:sz="4" w:space="0" w:color="auto"/>
              <w:bottom w:val="single" w:sz="4" w:space="0" w:color="auto"/>
            </w:tcBorders>
          </w:tcPr>
          <w:p w14:paraId="290A0271" w14:textId="522D51C3" w:rsidR="004E4774" w:rsidRPr="009C2DDC" w:rsidRDefault="004E477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Ongoing</w:t>
            </w:r>
          </w:p>
        </w:tc>
      </w:tr>
      <w:tr w:rsidR="00732E61" w:rsidRPr="006E0D13" w14:paraId="7A4A9053" w14:textId="77777777" w:rsidTr="6643C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tcBorders>
            <w:tcMar>
              <w:top w:w="85" w:type="dxa"/>
              <w:bottom w:w="85" w:type="dxa"/>
            </w:tcMar>
          </w:tcPr>
          <w:p w14:paraId="7B5AB224" w14:textId="438A4C24" w:rsidR="004E4774" w:rsidRPr="009C2DDC" w:rsidRDefault="006978D0" w:rsidP="006978D8">
            <w:pPr>
              <w:spacing w:line="276" w:lineRule="auto"/>
              <w:rPr>
                <w:rFonts w:asciiTheme="majorHAnsi" w:hAnsiTheme="majorHAnsi" w:cstheme="majorHAnsi"/>
                <w:sz w:val="20"/>
                <w:szCs w:val="20"/>
              </w:rPr>
            </w:pPr>
            <w:r>
              <w:rPr>
                <w:rFonts w:asciiTheme="majorHAnsi" w:hAnsiTheme="majorHAnsi" w:cstheme="majorHAnsi"/>
                <w:sz w:val="20"/>
                <w:szCs w:val="20"/>
              </w:rPr>
              <w:t>6</w:t>
            </w:r>
          </w:p>
        </w:tc>
        <w:tc>
          <w:tcPr>
            <w:tcW w:w="1133" w:type="dxa"/>
            <w:tcBorders>
              <w:top w:val="single" w:sz="4" w:space="0" w:color="auto"/>
              <w:bottom w:val="single" w:sz="4" w:space="0" w:color="auto"/>
            </w:tcBorders>
            <w:tcMar>
              <w:top w:w="85" w:type="dxa"/>
              <w:bottom w:w="85" w:type="dxa"/>
            </w:tcMar>
          </w:tcPr>
          <w:p w14:paraId="617106BD" w14:textId="77777777" w:rsidR="004E4774" w:rsidRPr="009C2DDC" w:rsidRDefault="004E477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77557</w:t>
            </w:r>
          </w:p>
          <w:p w14:paraId="481C5DA5" w14:textId="77777777" w:rsidR="004E4774" w:rsidRPr="009C2DDC" w:rsidRDefault="004E477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tc>
        <w:tc>
          <w:tcPr>
            <w:tcW w:w="2125" w:type="dxa"/>
            <w:tcBorders>
              <w:top w:val="single" w:sz="4" w:space="0" w:color="auto"/>
              <w:bottom w:val="single" w:sz="4" w:space="0" w:color="auto"/>
            </w:tcBorders>
            <w:tcMar>
              <w:top w:w="85" w:type="dxa"/>
              <w:bottom w:w="85" w:type="dxa"/>
            </w:tcMar>
          </w:tcPr>
          <w:p w14:paraId="03416CBF" w14:textId="50367475" w:rsidR="004E4774" w:rsidRPr="009C2DDC" w:rsidRDefault="004E477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Oceania Rise Rugby Project</w:t>
            </w:r>
            <w:r w:rsidR="009C6080">
              <w:rPr>
                <w:rFonts w:asciiTheme="majorHAnsi" w:hAnsiTheme="majorHAnsi" w:cstheme="majorHAnsi"/>
                <w:bCs/>
                <w:sz w:val="20"/>
                <w:szCs w:val="20"/>
              </w:rPr>
              <w:t xml:space="preserve"> Phase 1</w:t>
            </w:r>
          </w:p>
          <w:p w14:paraId="7FF57AC7" w14:textId="77777777" w:rsidR="004E4774" w:rsidRPr="009C2DDC" w:rsidRDefault="004E477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p w14:paraId="0774289F" w14:textId="134FD648" w:rsidR="004E4774" w:rsidRPr="009C2DDC" w:rsidRDefault="004E477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highlight w:val="yellow"/>
              </w:rPr>
            </w:pPr>
            <w:r w:rsidRPr="009C2DDC">
              <w:rPr>
                <w:rFonts w:asciiTheme="majorHAnsi" w:hAnsiTheme="majorHAnsi" w:cstheme="majorHAnsi"/>
                <w:bCs/>
                <w:sz w:val="20"/>
                <w:szCs w:val="20"/>
              </w:rPr>
              <w:t>(</w:t>
            </w:r>
            <w:r w:rsidR="009C6080">
              <w:rPr>
                <w:rFonts w:asciiTheme="majorHAnsi" w:hAnsiTheme="majorHAnsi" w:cstheme="majorHAnsi"/>
                <w:bCs/>
                <w:sz w:val="20"/>
                <w:szCs w:val="20"/>
              </w:rPr>
              <w:t>Rugby Australia</w:t>
            </w:r>
            <w:r w:rsidRPr="009C2DDC">
              <w:rPr>
                <w:rFonts w:asciiTheme="majorHAnsi" w:hAnsiTheme="majorHAnsi" w:cstheme="majorHAnsi"/>
                <w:bCs/>
                <w:sz w:val="20"/>
                <w:szCs w:val="20"/>
              </w:rPr>
              <w:t>)</w:t>
            </w:r>
          </w:p>
        </w:tc>
        <w:tc>
          <w:tcPr>
            <w:tcW w:w="3117" w:type="dxa"/>
            <w:tcBorders>
              <w:top w:val="single" w:sz="4" w:space="0" w:color="auto"/>
              <w:bottom w:val="single" w:sz="4" w:space="0" w:color="auto"/>
            </w:tcBorders>
            <w:tcMar>
              <w:top w:w="85" w:type="dxa"/>
              <w:bottom w:w="85" w:type="dxa"/>
            </w:tcMar>
          </w:tcPr>
          <w:p w14:paraId="0E471DC7" w14:textId="77777777" w:rsidR="004E4774" w:rsidRPr="009C2DDC" w:rsidRDefault="004E477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sz w:val="20"/>
                <w:szCs w:val="20"/>
              </w:rPr>
              <w:t>The project aims to promote gender equality in Pacific rugby through leadership, competitions, and governance. It seeks to establish new senior management positions for women, develop national women’s competitions in Fiji, Solomon Islands, and Tonga, and support leadership training. Regional initiatives will include building a Women in Rugby Network, delivering governance training, and developing shared resources. The project is designed to enhance pathways for women’s participation and visibility, strengthen institutional capacity, and foster sustainable development in rugby across the Pacific, with ongoing support from the Australian government.</w:t>
            </w:r>
          </w:p>
        </w:tc>
        <w:tc>
          <w:tcPr>
            <w:tcW w:w="1700" w:type="dxa"/>
            <w:tcBorders>
              <w:top w:val="single" w:sz="4" w:space="0" w:color="auto"/>
              <w:bottom w:val="single" w:sz="4" w:space="0" w:color="auto"/>
            </w:tcBorders>
            <w:tcMar>
              <w:top w:w="85" w:type="dxa"/>
              <w:bottom w:w="85" w:type="dxa"/>
            </w:tcMar>
          </w:tcPr>
          <w:p w14:paraId="594E0FBE" w14:textId="77777777" w:rsidR="004E4774" w:rsidRPr="009C2DDC" w:rsidRDefault="004E477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$2,933,000</w:t>
            </w:r>
          </w:p>
          <w:p w14:paraId="22BECB8F" w14:textId="77777777" w:rsidR="004E4774" w:rsidRPr="009C2DDC" w:rsidRDefault="004E477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p w14:paraId="0C93F722" w14:textId="72FBAB68" w:rsidR="004E4774" w:rsidRPr="009C2DDC" w:rsidRDefault="004E477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2022</w:t>
            </w:r>
            <w:r w:rsidR="009C6080">
              <w:rPr>
                <w:rFonts w:asciiTheme="majorHAnsi" w:hAnsiTheme="majorHAnsi" w:cstheme="majorHAnsi"/>
                <w:bCs/>
                <w:sz w:val="20"/>
                <w:szCs w:val="20"/>
              </w:rPr>
              <w:t xml:space="preserve"> </w:t>
            </w:r>
            <w:r w:rsidRPr="009C2DDC">
              <w:rPr>
                <w:rFonts w:asciiTheme="majorHAnsi" w:hAnsiTheme="majorHAnsi" w:cstheme="majorHAnsi"/>
                <w:bCs/>
                <w:sz w:val="20"/>
                <w:szCs w:val="20"/>
              </w:rPr>
              <w:t>–</w:t>
            </w:r>
            <w:r w:rsidR="009C6080">
              <w:rPr>
                <w:rFonts w:asciiTheme="majorHAnsi" w:hAnsiTheme="majorHAnsi" w:cstheme="majorHAnsi"/>
                <w:bCs/>
                <w:sz w:val="20"/>
                <w:szCs w:val="20"/>
              </w:rPr>
              <w:t xml:space="preserve"> </w:t>
            </w:r>
            <w:r w:rsidRPr="009C2DDC">
              <w:rPr>
                <w:rFonts w:asciiTheme="majorHAnsi" w:hAnsiTheme="majorHAnsi" w:cstheme="majorHAnsi"/>
                <w:bCs/>
                <w:sz w:val="20"/>
                <w:szCs w:val="20"/>
              </w:rPr>
              <w:t>2024</w:t>
            </w:r>
          </w:p>
        </w:tc>
        <w:tc>
          <w:tcPr>
            <w:tcW w:w="1388" w:type="dxa"/>
            <w:tcBorders>
              <w:top w:val="single" w:sz="4" w:space="0" w:color="auto"/>
              <w:bottom w:val="single" w:sz="4" w:space="0" w:color="auto"/>
            </w:tcBorders>
          </w:tcPr>
          <w:p w14:paraId="237C8016" w14:textId="77777777" w:rsidR="004E4774" w:rsidRPr="009C2DDC" w:rsidRDefault="004E477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Completed</w:t>
            </w:r>
          </w:p>
        </w:tc>
      </w:tr>
      <w:tr w:rsidR="006935B5" w:rsidRPr="00CE74AD" w14:paraId="2CDAFCCA" w14:textId="77777777" w:rsidTr="00491EEE">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tcMar>
              <w:top w:w="85" w:type="dxa"/>
              <w:bottom w:w="85" w:type="dxa"/>
            </w:tcMar>
          </w:tcPr>
          <w:p w14:paraId="4C25966F" w14:textId="77777777" w:rsidR="00F97D95" w:rsidRPr="009C2DDC" w:rsidRDefault="00F97D95" w:rsidP="006978D8">
            <w:pPr>
              <w:spacing w:line="276" w:lineRule="auto"/>
              <w:rPr>
                <w:rFonts w:asciiTheme="majorHAnsi" w:hAnsiTheme="majorHAnsi" w:cstheme="majorHAnsi"/>
                <w:sz w:val="20"/>
                <w:szCs w:val="20"/>
              </w:rPr>
            </w:pPr>
          </w:p>
        </w:tc>
        <w:tc>
          <w:tcPr>
            <w:tcW w:w="0" w:type="dxa"/>
            <w:tcBorders>
              <w:top w:val="single" w:sz="4" w:space="0" w:color="auto"/>
              <w:bottom w:val="single" w:sz="4" w:space="0" w:color="auto"/>
            </w:tcBorders>
            <w:tcMar>
              <w:top w:w="85" w:type="dxa"/>
              <w:bottom w:w="85" w:type="dxa"/>
            </w:tcMar>
          </w:tcPr>
          <w:p w14:paraId="590904A7" w14:textId="3828E793" w:rsidR="00F97D95" w:rsidRPr="009C2DDC" w:rsidRDefault="00F97D95"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tc>
        <w:tc>
          <w:tcPr>
            <w:tcW w:w="0" w:type="dxa"/>
            <w:tcBorders>
              <w:top w:val="single" w:sz="4" w:space="0" w:color="auto"/>
              <w:bottom w:val="single" w:sz="4" w:space="0" w:color="auto"/>
            </w:tcBorders>
            <w:tcMar>
              <w:top w:w="85" w:type="dxa"/>
              <w:bottom w:w="85" w:type="dxa"/>
            </w:tcMar>
          </w:tcPr>
          <w:p w14:paraId="6BFFEABA" w14:textId="77777777" w:rsidR="00F97D95" w:rsidRPr="009C2DDC" w:rsidRDefault="00F97D95"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 xml:space="preserve">Rise Rugby Phase 2 </w:t>
            </w:r>
          </w:p>
          <w:p w14:paraId="53DCE033" w14:textId="77777777" w:rsidR="00F97D95" w:rsidRPr="009C2DDC" w:rsidRDefault="00F97D95"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A045CD3" w14:textId="5B91DD77" w:rsidR="00F97D95" w:rsidRPr="009C2DDC" w:rsidRDefault="00F97D95"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sz w:val="20"/>
                <w:szCs w:val="20"/>
              </w:rPr>
              <w:t>(Oceania Rugby)</w:t>
            </w:r>
          </w:p>
        </w:tc>
        <w:tc>
          <w:tcPr>
            <w:tcW w:w="0" w:type="dxa"/>
            <w:tcBorders>
              <w:top w:val="single" w:sz="4" w:space="0" w:color="auto"/>
              <w:bottom w:val="single" w:sz="4" w:space="0" w:color="auto"/>
            </w:tcBorders>
            <w:tcMar>
              <w:top w:w="85" w:type="dxa"/>
              <w:bottom w:w="85" w:type="dxa"/>
            </w:tcMar>
          </w:tcPr>
          <w:p w14:paraId="2469E28C" w14:textId="37B29CD0" w:rsidR="00F97D95" w:rsidRPr="009C2DDC" w:rsidRDefault="00F97D95"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 xml:space="preserve">Phase Two of Rise Rugby will accelerate gender equality in Pacific rugby by strengthening women’s leadership, governance, competitions, and visibility. Building on Phase One, it will sustain senior management roles for women in </w:t>
            </w:r>
            <w:r w:rsidRPr="009C2DDC">
              <w:rPr>
                <w:rFonts w:asciiTheme="majorHAnsi" w:hAnsiTheme="majorHAnsi" w:cstheme="majorHAnsi"/>
                <w:sz w:val="20"/>
                <w:szCs w:val="20"/>
              </w:rPr>
              <w:lastRenderedPageBreak/>
              <w:t>rugby organisations, expand national women’s competitions in Fiji, Samoa, Solomon Islands, and Tonga, and deliver targeted training for emerging female leaders. At a regional level, a new Communications and Media Program will build women’s capacity in storytelling, media, and digital engagement, raising visibility and commercial opportunities. The Women in Rugby Network will be reconfigured to better reflect evolving needs, while a new Women’s Rugby Committee will provide structured guidance, stronger representation, and a sustainable governance voice for women across the Pacific.</w:t>
            </w:r>
          </w:p>
        </w:tc>
        <w:tc>
          <w:tcPr>
            <w:tcW w:w="0" w:type="dxa"/>
            <w:tcBorders>
              <w:top w:val="single" w:sz="4" w:space="0" w:color="auto"/>
              <w:bottom w:val="single" w:sz="4" w:space="0" w:color="auto"/>
            </w:tcBorders>
            <w:tcMar>
              <w:top w:w="85" w:type="dxa"/>
              <w:bottom w:w="85" w:type="dxa"/>
            </w:tcMar>
          </w:tcPr>
          <w:p w14:paraId="20CFDBE6" w14:textId="77777777" w:rsidR="00F97D95" w:rsidRPr="009C2DDC" w:rsidRDefault="00F97D95"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lastRenderedPageBreak/>
              <w:t>$2,974,500</w:t>
            </w:r>
          </w:p>
          <w:p w14:paraId="6133C904" w14:textId="77777777" w:rsidR="00F97D95" w:rsidRPr="009C2DDC" w:rsidRDefault="00F97D95"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D24CAD0" w14:textId="1AB37CB7" w:rsidR="00F97D95" w:rsidRPr="009C2DDC" w:rsidRDefault="00F97D95"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sz w:val="20"/>
                <w:szCs w:val="20"/>
              </w:rPr>
              <w:t>2025 – 2027</w:t>
            </w:r>
          </w:p>
        </w:tc>
        <w:tc>
          <w:tcPr>
            <w:tcW w:w="0" w:type="dxa"/>
            <w:tcBorders>
              <w:top w:val="single" w:sz="4" w:space="0" w:color="auto"/>
              <w:bottom w:val="single" w:sz="4" w:space="0" w:color="auto"/>
            </w:tcBorders>
          </w:tcPr>
          <w:p w14:paraId="578538A5" w14:textId="72C43F49" w:rsidR="00F97D95" w:rsidRPr="009C2DDC" w:rsidRDefault="00F97D95"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sz w:val="20"/>
                <w:szCs w:val="20"/>
              </w:rPr>
              <w:t xml:space="preserve">Ongoing </w:t>
            </w:r>
          </w:p>
        </w:tc>
      </w:tr>
      <w:tr w:rsidR="00CE74AD" w:rsidRPr="00846EE2" w14:paraId="085A548F" w14:textId="77777777" w:rsidTr="6643C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bottom w:val="single" w:sz="4" w:space="0" w:color="auto"/>
            </w:tcBorders>
            <w:tcMar>
              <w:top w:w="85" w:type="dxa"/>
              <w:bottom w:w="85" w:type="dxa"/>
            </w:tcMar>
          </w:tcPr>
          <w:p w14:paraId="62092476" w14:textId="39247E6B" w:rsidR="009C6080" w:rsidRPr="00846EE2" w:rsidRDefault="006978D0" w:rsidP="006978D8">
            <w:pPr>
              <w:spacing w:line="276" w:lineRule="auto"/>
              <w:rPr>
                <w:rFonts w:ascii="Arial" w:hAnsi="Arial" w:cs="Arial"/>
                <w:sz w:val="20"/>
                <w:szCs w:val="20"/>
              </w:rPr>
            </w:pPr>
            <w:r>
              <w:rPr>
                <w:rFonts w:ascii="Arial" w:hAnsi="Arial" w:cs="Arial"/>
                <w:sz w:val="20"/>
                <w:szCs w:val="20"/>
              </w:rPr>
              <w:t>7</w:t>
            </w:r>
          </w:p>
        </w:tc>
        <w:tc>
          <w:tcPr>
            <w:tcW w:w="1133" w:type="dxa"/>
            <w:tcBorders>
              <w:top w:val="single" w:sz="4" w:space="0" w:color="auto"/>
              <w:bottom w:val="single" w:sz="4" w:space="0" w:color="auto"/>
            </w:tcBorders>
            <w:tcMar>
              <w:top w:w="85" w:type="dxa"/>
              <w:bottom w:w="85" w:type="dxa"/>
            </w:tcMar>
          </w:tcPr>
          <w:p w14:paraId="13C89EBB" w14:textId="77777777" w:rsidR="009C6080" w:rsidRPr="00846EE2" w:rsidRDefault="009C6080"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46EE2">
              <w:rPr>
                <w:rFonts w:ascii="Arial" w:hAnsi="Arial" w:cs="Arial"/>
                <w:bCs/>
                <w:sz w:val="20"/>
                <w:szCs w:val="20"/>
              </w:rPr>
              <w:t>77821</w:t>
            </w:r>
          </w:p>
          <w:p w14:paraId="127E39F0" w14:textId="77777777" w:rsidR="009C6080" w:rsidRPr="00846EE2" w:rsidRDefault="009C6080"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2125" w:type="dxa"/>
            <w:tcBorders>
              <w:top w:val="single" w:sz="4" w:space="0" w:color="auto"/>
              <w:bottom w:val="single" w:sz="4" w:space="0" w:color="auto"/>
            </w:tcBorders>
            <w:tcMar>
              <w:top w:w="85" w:type="dxa"/>
              <w:bottom w:w="85" w:type="dxa"/>
            </w:tcMar>
          </w:tcPr>
          <w:p w14:paraId="0F81630A" w14:textId="77777777" w:rsidR="009C6080" w:rsidRPr="00846EE2" w:rsidRDefault="009C6080"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846EE2">
              <w:rPr>
                <w:rFonts w:ascii="Arial" w:hAnsi="Arial" w:cs="Arial"/>
                <w:bCs/>
                <w:sz w:val="20"/>
                <w:szCs w:val="20"/>
              </w:rPr>
              <w:t xml:space="preserve">Emerging onto the World Stage - </w:t>
            </w:r>
            <w:r w:rsidRPr="00846EE2">
              <w:rPr>
                <w:rFonts w:ascii="Arial" w:hAnsi="Arial" w:cs="Arial"/>
                <w:bCs/>
                <w:sz w:val="20"/>
                <w:szCs w:val="20"/>
                <w:lang w:val="en-US"/>
              </w:rPr>
              <w:t>Tennis Australia Women and Girls Pacific Extension</w:t>
            </w:r>
          </w:p>
          <w:p w14:paraId="71C1289B" w14:textId="77777777" w:rsidR="009C6080" w:rsidRPr="00846EE2" w:rsidRDefault="009C6080"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p w14:paraId="1A3FC86F" w14:textId="77777777" w:rsidR="009C6080" w:rsidRPr="00846EE2" w:rsidRDefault="009C6080"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46EE2">
              <w:rPr>
                <w:rFonts w:ascii="Arial" w:hAnsi="Arial" w:cs="Arial"/>
                <w:bCs/>
                <w:sz w:val="20"/>
                <w:szCs w:val="20"/>
                <w:lang w:val="en-US"/>
              </w:rPr>
              <w:t>(Tennis Australia)</w:t>
            </w:r>
          </w:p>
        </w:tc>
        <w:tc>
          <w:tcPr>
            <w:tcW w:w="3117" w:type="dxa"/>
            <w:tcBorders>
              <w:top w:val="single" w:sz="4" w:space="0" w:color="auto"/>
              <w:bottom w:val="single" w:sz="4" w:space="0" w:color="auto"/>
            </w:tcBorders>
            <w:tcMar>
              <w:top w:w="85" w:type="dxa"/>
              <w:bottom w:w="85" w:type="dxa"/>
            </w:tcMar>
          </w:tcPr>
          <w:p w14:paraId="1BF90333" w14:textId="77777777" w:rsidR="009C6080" w:rsidRPr="00846EE2" w:rsidRDefault="009C6080"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846EE2">
              <w:rPr>
                <w:rFonts w:ascii="Arial" w:hAnsi="Arial" w:cs="Arial"/>
                <w:sz w:val="20"/>
                <w:szCs w:val="20"/>
              </w:rPr>
              <w:t>This project aims to increase the pipeline of women administrators in tennis across the Pacific. The program, implemented by Tennis Australia in Fiji, PNG, Samoa, Solomon Islands, Tuvalu, and Vanuatu, focuses on professional development and networking opportunities for women in sports leadership. The project seeks to empower women to take on leadership roles, increase opportunities for elite-level competition, and improve governance structures to better support women and girls in tennis across the region.</w:t>
            </w:r>
          </w:p>
        </w:tc>
        <w:tc>
          <w:tcPr>
            <w:tcW w:w="1700" w:type="dxa"/>
            <w:tcBorders>
              <w:top w:val="single" w:sz="4" w:space="0" w:color="auto"/>
              <w:bottom w:val="single" w:sz="4" w:space="0" w:color="auto"/>
            </w:tcBorders>
            <w:tcMar>
              <w:top w:w="85" w:type="dxa"/>
              <w:bottom w:w="85" w:type="dxa"/>
            </w:tcMar>
          </w:tcPr>
          <w:p w14:paraId="3AFC69D5" w14:textId="77777777" w:rsidR="009C6080" w:rsidRPr="00846EE2" w:rsidRDefault="009C6080"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846EE2">
              <w:rPr>
                <w:rFonts w:ascii="Arial" w:hAnsi="Arial" w:cs="Arial"/>
                <w:bCs/>
                <w:sz w:val="20"/>
                <w:szCs w:val="20"/>
                <w:lang w:val="en-US"/>
              </w:rPr>
              <w:t>$1,111,000</w:t>
            </w:r>
          </w:p>
          <w:p w14:paraId="0074F3F6" w14:textId="77777777" w:rsidR="009C6080" w:rsidRPr="00846EE2" w:rsidRDefault="009C6080"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p w14:paraId="21BFE735" w14:textId="77777777" w:rsidR="009C6080" w:rsidRPr="00846EE2" w:rsidRDefault="009C6080"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846EE2">
              <w:rPr>
                <w:rFonts w:ascii="Arial" w:hAnsi="Arial" w:cs="Arial"/>
                <w:bCs/>
                <w:sz w:val="20"/>
                <w:szCs w:val="20"/>
                <w:lang w:val="en-US"/>
              </w:rPr>
              <w:t>2022</w:t>
            </w:r>
            <w:r>
              <w:rPr>
                <w:rFonts w:ascii="Arial" w:hAnsi="Arial" w:cs="Arial"/>
                <w:bCs/>
                <w:sz w:val="20"/>
                <w:szCs w:val="20"/>
                <w:lang w:val="en-US"/>
              </w:rPr>
              <w:t xml:space="preserve"> </w:t>
            </w:r>
            <w:r w:rsidRPr="00846EE2">
              <w:rPr>
                <w:rFonts w:ascii="Arial" w:hAnsi="Arial" w:cs="Arial"/>
                <w:bCs/>
                <w:sz w:val="20"/>
                <w:szCs w:val="20"/>
                <w:lang w:val="en-US"/>
              </w:rPr>
              <w:t>–</w:t>
            </w:r>
            <w:r>
              <w:rPr>
                <w:rFonts w:ascii="Arial" w:hAnsi="Arial" w:cs="Arial"/>
                <w:bCs/>
                <w:sz w:val="20"/>
                <w:szCs w:val="20"/>
                <w:lang w:val="en-US"/>
              </w:rPr>
              <w:t xml:space="preserve"> </w:t>
            </w:r>
            <w:r w:rsidRPr="00846EE2">
              <w:rPr>
                <w:rFonts w:ascii="Arial" w:hAnsi="Arial" w:cs="Arial"/>
                <w:bCs/>
                <w:sz w:val="20"/>
                <w:szCs w:val="20"/>
                <w:lang w:val="en-US"/>
              </w:rPr>
              <w:t>2026</w:t>
            </w:r>
          </w:p>
        </w:tc>
        <w:tc>
          <w:tcPr>
            <w:tcW w:w="1388" w:type="dxa"/>
            <w:tcBorders>
              <w:top w:val="single" w:sz="4" w:space="0" w:color="auto"/>
              <w:bottom w:val="single" w:sz="4" w:space="0" w:color="auto"/>
            </w:tcBorders>
          </w:tcPr>
          <w:p w14:paraId="5A1590A1" w14:textId="77777777" w:rsidR="009C6080" w:rsidRPr="00846EE2" w:rsidRDefault="009C6080"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846EE2">
              <w:rPr>
                <w:rFonts w:ascii="Arial" w:hAnsi="Arial" w:cs="Arial"/>
                <w:bCs/>
                <w:sz w:val="20"/>
                <w:szCs w:val="20"/>
                <w:lang w:val="en-US"/>
              </w:rPr>
              <w:t>Ongoing</w:t>
            </w:r>
          </w:p>
        </w:tc>
      </w:tr>
      <w:tr w:rsidR="00CE74AD" w:rsidRPr="00CE74AD" w14:paraId="1CDA4A83" w14:textId="77777777" w:rsidTr="6643C3DA">
        <w:tc>
          <w:tcPr>
            <w:cnfStyle w:val="001000000000" w:firstRow="0" w:lastRow="0" w:firstColumn="1" w:lastColumn="0" w:oddVBand="0" w:evenVBand="0" w:oddHBand="0" w:evenHBand="0" w:firstRowFirstColumn="0" w:firstRowLastColumn="0" w:lastRowFirstColumn="0" w:lastRowLastColumn="0"/>
            <w:tcW w:w="568" w:type="dxa"/>
            <w:tcMar>
              <w:top w:w="85" w:type="dxa"/>
              <w:bottom w:w="85" w:type="dxa"/>
            </w:tcMar>
          </w:tcPr>
          <w:p w14:paraId="794E579B" w14:textId="33151708" w:rsidR="00950E5E" w:rsidRPr="009C2DDC" w:rsidRDefault="006978D0" w:rsidP="006978D8">
            <w:pPr>
              <w:spacing w:line="276" w:lineRule="auto"/>
              <w:rPr>
                <w:rFonts w:asciiTheme="majorHAnsi" w:hAnsiTheme="majorHAnsi" w:cstheme="majorHAnsi"/>
                <w:sz w:val="20"/>
                <w:szCs w:val="20"/>
              </w:rPr>
            </w:pPr>
            <w:r>
              <w:rPr>
                <w:rFonts w:asciiTheme="majorHAnsi" w:hAnsiTheme="majorHAnsi" w:cstheme="majorHAnsi"/>
                <w:sz w:val="20"/>
                <w:szCs w:val="20"/>
              </w:rPr>
              <w:t>8</w:t>
            </w:r>
          </w:p>
        </w:tc>
        <w:tc>
          <w:tcPr>
            <w:tcW w:w="1133" w:type="dxa"/>
            <w:tcMar>
              <w:top w:w="85" w:type="dxa"/>
              <w:bottom w:w="85" w:type="dxa"/>
            </w:tcMar>
          </w:tcPr>
          <w:p w14:paraId="4D83DC54" w14:textId="777A0699" w:rsidR="00950E5E" w:rsidRPr="009C2DDC" w:rsidRDefault="00950E5E" w:rsidP="006978D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9C2DDC">
              <w:rPr>
                <w:rFonts w:asciiTheme="majorHAnsi" w:hAnsiTheme="majorHAnsi" w:cstheme="majorHAnsi"/>
                <w:color w:val="000000"/>
                <w:sz w:val="20"/>
                <w:szCs w:val="20"/>
              </w:rPr>
              <w:t>79852</w:t>
            </w:r>
          </w:p>
        </w:tc>
        <w:tc>
          <w:tcPr>
            <w:tcW w:w="2125" w:type="dxa"/>
            <w:tcMar>
              <w:top w:w="85" w:type="dxa"/>
              <w:bottom w:w="85" w:type="dxa"/>
            </w:tcMar>
          </w:tcPr>
          <w:p w14:paraId="3255225C" w14:textId="4046DDF7" w:rsidR="00950E5E" w:rsidRPr="009C2DDC" w:rsidRDefault="00950E5E" w:rsidP="006978D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9C2DDC">
              <w:rPr>
                <w:rFonts w:asciiTheme="majorHAnsi" w:hAnsiTheme="majorHAnsi" w:cstheme="majorHAnsi"/>
                <w:color w:val="000000"/>
                <w:sz w:val="20"/>
                <w:szCs w:val="20"/>
              </w:rPr>
              <w:t>Pacific Women's Sports Administration Program - Basketball Pacific</w:t>
            </w:r>
          </w:p>
          <w:p w14:paraId="012F0FCB" w14:textId="77777777" w:rsidR="00950E5E" w:rsidRPr="009C2DDC" w:rsidRDefault="00950E5E"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6A868A4" w14:textId="2EF7128A" w:rsidR="00950E5E" w:rsidRPr="009C2DDC" w:rsidRDefault="00950E5E"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(FIBA Oceania)</w:t>
            </w:r>
          </w:p>
        </w:tc>
        <w:tc>
          <w:tcPr>
            <w:tcW w:w="3117" w:type="dxa"/>
            <w:tcMar>
              <w:top w:w="85" w:type="dxa"/>
              <w:bottom w:w="85" w:type="dxa"/>
            </w:tcMar>
          </w:tcPr>
          <w:p w14:paraId="15C34B86" w14:textId="5DC9C809" w:rsidR="00950E5E" w:rsidRPr="009C2DDC" w:rsidRDefault="00950E5E"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This partnership aims to increase access for girls and women from 18 countries across the Pacific to compete and excel in basketball by: increasing the number of women in leadership roles, particularly as coaches and administrators; improving access and safe participation; and strengthening governance and administration from the grassroots to the elite levels.</w:t>
            </w:r>
          </w:p>
        </w:tc>
        <w:tc>
          <w:tcPr>
            <w:tcW w:w="1700" w:type="dxa"/>
            <w:tcMar>
              <w:top w:w="85" w:type="dxa"/>
              <w:bottom w:w="85" w:type="dxa"/>
            </w:tcMar>
          </w:tcPr>
          <w:p w14:paraId="6146766E" w14:textId="77777777" w:rsidR="00950E5E" w:rsidRPr="00950E5E" w:rsidRDefault="00950E5E"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50E5E">
              <w:rPr>
                <w:rFonts w:asciiTheme="majorHAnsi" w:hAnsiTheme="majorHAnsi" w:cstheme="majorHAnsi"/>
                <w:sz w:val="20"/>
                <w:szCs w:val="20"/>
              </w:rPr>
              <w:t>$800,000</w:t>
            </w:r>
          </w:p>
          <w:p w14:paraId="673A5225" w14:textId="77777777" w:rsidR="00950E5E" w:rsidRPr="00950E5E" w:rsidRDefault="00950E5E"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0351565" w14:textId="436E3CC5" w:rsidR="00950E5E" w:rsidRPr="009C2DDC" w:rsidRDefault="00950E5E"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50E5E">
              <w:rPr>
                <w:rFonts w:asciiTheme="majorHAnsi" w:hAnsiTheme="majorHAnsi" w:cstheme="majorHAnsi"/>
                <w:sz w:val="20"/>
                <w:szCs w:val="20"/>
              </w:rPr>
              <w:t>2024 - 2027</w:t>
            </w:r>
          </w:p>
        </w:tc>
        <w:tc>
          <w:tcPr>
            <w:tcW w:w="1388" w:type="dxa"/>
          </w:tcPr>
          <w:p w14:paraId="0F8282A2" w14:textId="771E178C" w:rsidR="00950E5E" w:rsidRPr="009C2DDC" w:rsidRDefault="00950E5E"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50E5E">
              <w:rPr>
                <w:rFonts w:asciiTheme="majorHAnsi" w:hAnsiTheme="majorHAnsi" w:cstheme="majorHAnsi"/>
                <w:sz w:val="20"/>
                <w:szCs w:val="20"/>
              </w:rPr>
              <w:t>Ongoing</w:t>
            </w:r>
          </w:p>
        </w:tc>
      </w:tr>
      <w:tr w:rsidR="006935B5" w:rsidRPr="006E0D13" w14:paraId="306B55D4" w14:textId="77777777" w:rsidTr="00491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Mar>
              <w:top w:w="85" w:type="dxa"/>
              <w:bottom w:w="85" w:type="dxa"/>
            </w:tcMar>
          </w:tcPr>
          <w:p w14:paraId="0F5A3259" w14:textId="7844EC32" w:rsidR="00950E5E" w:rsidRPr="009C2DDC" w:rsidRDefault="006978D0" w:rsidP="006978D8">
            <w:pPr>
              <w:spacing w:line="276" w:lineRule="auto"/>
              <w:rPr>
                <w:rFonts w:asciiTheme="majorHAnsi" w:hAnsiTheme="majorHAnsi" w:cstheme="majorHAnsi"/>
                <w:sz w:val="20"/>
                <w:szCs w:val="20"/>
              </w:rPr>
            </w:pPr>
            <w:r>
              <w:rPr>
                <w:rFonts w:asciiTheme="majorHAnsi" w:hAnsiTheme="majorHAnsi" w:cstheme="majorHAnsi"/>
                <w:sz w:val="20"/>
                <w:szCs w:val="20"/>
              </w:rPr>
              <w:t>9</w:t>
            </w:r>
          </w:p>
        </w:tc>
        <w:tc>
          <w:tcPr>
            <w:tcW w:w="0" w:type="dxa"/>
            <w:tcBorders>
              <w:bottom w:val="single" w:sz="4" w:space="0" w:color="auto"/>
            </w:tcBorders>
            <w:tcMar>
              <w:top w:w="85" w:type="dxa"/>
              <w:bottom w:w="85" w:type="dxa"/>
            </w:tcMar>
          </w:tcPr>
          <w:p w14:paraId="5F368B5F" w14:textId="77777777" w:rsidR="00950E5E" w:rsidRPr="009C2DDC" w:rsidRDefault="00950E5E"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C2DDC">
              <w:rPr>
                <w:rFonts w:asciiTheme="majorHAnsi" w:hAnsiTheme="majorHAnsi" w:cstheme="majorHAnsi"/>
                <w:sz w:val="20"/>
                <w:szCs w:val="20"/>
                <w:lang w:val="en-US"/>
              </w:rPr>
              <w:t>74112</w:t>
            </w:r>
          </w:p>
          <w:p w14:paraId="124A4498" w14:textId="77777777" w:rsidR="00950E5E" w:rsidRPr="009C2DDC" w:rsidRDefault="00950E5E"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Borders>
              <w:bottom w:val="single" w:sz="4" w:space="0" w:color="auto"/>
            </w:tcBorders>
            <w:tcMar>
              <w:top w:w="85" w:type="dxa"/>
              <w:bottom w:w="85" w:type="dxa"/>
            </w:tcMar>
          </w:tcPr>
          <w:p w14:paraId="463640E7" w14:textId="35037B0D" w:rsidR="00950E5E" w:rsidRPr="009C2DDC" w:rsidRDefault="00950E5E"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 xml:space="preserve">Pacific Partnership to End Violence Against </w:t>
            </w:r>
            <w:r w:rsidRPr="009C2DDC">
              <w:rPr>
                <w:rFonts w:asciiTheme="majorHAnsi" w:hAnsiTheme="majorHAnsi" w:cstheme="majorHAnsi"/>
                <w:sz w:val="20"/>
                <w:szCs w:val="20"/>
              </w:rPr>
              <w:lastRenderedPageBreak/>
              <w:t>Women and Girls (PPEVAWG)</w:t>
            </w:r>
          </w:p>
          <w:p w14:paraId="2A64B4E9" w14:textId="77777777" w:rsidR="00950E5E" w:rsidRPr="009C2DDC" w:rsidRDefault="00950E5E"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Phase 1</w:t>
            </w:r>
          </w:p>
          <w:p w14:paraId="7FDD5658" w14:textId="7A417BE1" w:rsidR="00950E5E" w:rsidRPr="009C2DDC" w:rsidRDefault="00950E5E"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ab/>
            </w:r>
            <w:r w:rsidRPr="009C2DDC">
              <w:rPr>
                <w:rFonts w:asciiTheme="majorHAnsi" w:hAnsiTheme="majorHAnsi" w:cstheme="majorHAnsi"/>
                <w:sz w:val="20"/>
                <w:szCs w:val="20"/>
              </w:rPr>
              <w:tab/>
            </w:r>
          </w:p>
          <w:p w14:paraId="69467AC2" w14:textId="77777777" w:rsidR="00950E5E" w:rsidRPr="009C2DDC" w:rsidRDefault="00950E5E"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(UN Women)</w:t>
            </w:r>
          </w:p>
        </w:tc>
        <w:tc>
          <w:tcPr>
            <w:tcW w:w="0" w:type="dxa"/>
            <w:tcBorders>
              <w:bottom w:val="single" w:sz="4" w:space="0" w:color="auto"/>
            </w:tcBorders>
            <w:tcMar>
              <w:top w:w="85" w:type="dxa"/>
              <w:bottom w:w="85" w:type="dxa"/>
            </w:tcMar>
          </w:tcPr>
          <w:p w14:paraId="4FE04A01" w14:textId="77777777" w:rsidR="00950E5E" w:rsidRPr="009C2DDC" w:rsidRDefault="00950E5E"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lastRenderedPageBreak/>
              <w:t xml:space="preserve">The Project sought to promote Gender Equality, prevent </w:t>
            </w:r>
            <w:r w:rsidRPr="009C2DDC">
              <w:rPr>
                <w:rFonts w:asciiTheme="majorHAnsi" w:hAnsiTheme="majorHAnsi" w:cstheme="majorHAnsi"/>
                <w:sz w:val="20"/>
                <w:szCs w:val="20"/>
              </w:rPr>
              <w:lastRenderedPageBreak/>
              <w:t>VAWG, and increase access to quality VAWG response services for survivors. The programme engages with over 100 partners across the region, including national governments, CSOs, EVAWG networks, faith-based groups, and sports associations.</w:t>
            </w:r>
          </w:p>
        </w:tc>
        <w:tc>
          <w:tcPr>
            <w:tcW w:w="0" w:type="dxa"/>
            <w:tcBorders>
              <w:bottom w:val="single" w:sz="4" w:space="0" w:color="auto"/>
            </w:tcBorders>
            <w:tcMar>
              <w:top w:w="85" w:type="dxa"/>
              <w:bottom w:w="85" w:type="dxa"/>
            </w:tcMar>
          </w:tcPr>
          <w:p w14:paraId="6A83E6EC" w14:textId="77777777" w:rsidR="00950E5E" w:rsidRPr="009C2DDC" w:rsidRDefault="00950E5E"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lastRenderedPageBreak/>
              <w:t>$800,000</w:t>
            </w:r>
          </w:p>
          <w:p w14:paraId="613ECE6A" w14:textId="77777777" w:rsidR="00950E5E" w:rsidRPr="009C2DDC" w:rsidRDefault="00950E5E"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1819AD0" w14:textId="78DC3902" w:rsidR="00950E5E" w:rsidRPr="009C2DDC" w:rsidRDefault="00950E5E"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lastRenderedPageBreak/>
              <w:t>2021 – 202</w:t>
            </w:r>
            <w:r w:rsidR="00234A13" w:rsidRPr="009C2DDC">
              <w:rPr>
                <w:rFonts w:asciiTheme="majorHAnsi" w:hAnsiTheme="majorHAnsi" w:cstheme="majorHAnsi"/>
                <w:sz w:val="20"/>
                <w:szCs w:val="20"/>
              </w:rPr>
              <w:t>3</w:t>
            </w:r>
          </w:p>
          <w:p w14:paraId="241D0364" w14:textId="77777777" w:rsidR="00950E5E" w:rsidRPr="009C2DDC" w:rsidRDefault="00950E5E"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817E767" w14:textId="77777777" w:rsidR="00950E5E" w:rsidRPr="009C2DDC" w:rsidRDefault="00950E5E"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Borders>
              <w:bottom w:val="single" w:sz="4" w:space="0" w:color="auto"/>
            </w:tcBorders>
          </w:tcPr>
          <w:p w14:paraId="18150641" w14:textId="77777777" w:rsidR="00950E5E" w:rsidRPr="009C2DDC" w:rsidRDefault="00950E5E"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lastRenderedPageBreak/>
              <w:t>Completed</w:t>
            </w:r>
          </w:p>
          <w:p w14:paraId="799DA90D" w14:textId="77777777" w:rsidR="00950E5E" w:rsidRPr="009C2DDC" w:rsidRDefault="00950E5E"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CE74AD" w:rsidRPr="00CE74AD" w14:paraId="7BF30C1F" w14:textId="77777777" w:rsidTr="6643C3DA">
        <w:tc>
          <w:tcPr>
            <w:tcW w:w="568" w:type="dxa"/>
            <w:tcBorders>
              <w:bottom w:val="single" w:sz="4" w:space="0" w:color="auto"/>
            </w:tcBorders>
            <w:tcMar>
              <w:top w:w="85" w:type="dxa"/>
              <w:bottom w:w="85" w:type="dxa"/>
            </w:tcMar>
          </w:tcPr>
          <w:p w14:paraId="59405815" w14:textId="77777777" w:rsidR="009909F4" w:rsidRPr="009C2DDC" w:rsidRDefault="009909F4" w:rsidP="006978D8">
            <w:pPr>
              <w:spacing w:line="276" w:lineRule="auto"/>
              <w:cnfStyle w:val="001000000000" w:firstRow="0" w:lastRow="0" w:firstColumn="1"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33" w:type="dxa"/>
            <w:tcBorders>
              <w:bottom w:val="single" w:sz="4" w:space="0" w:color="auto"/>
            </w:tcBorders>
            <w:tcMar>
              <w:top w:w="85" w:type="dxa"/>
              <w:bottom w:w="85" w:type="dxa"/>
            </w:tcMar>
          </w:tcPr>
          <w:p w14:paraId="5A56C761" w14:textId="77777777" w:rsidR="009909F4" w:rsidRPr="009C2DDC" w:rsidRDefault="009909F4" w:rsidP="006978D8">
            <w:pPr>
              <w:spacing w:line="276" w:lineRule="auto"/>
              <w:rPr>
                <w:rFonts w:asciiTheme="majorHAnsi" w:hAnsiTheme="majorHAnsi" w:cstheme="majorHAnsi"/>
                <w:bCs/>
                <w:sz w:val="20"/>
                <w:szCs w:val="20"/>
              </w:rPr>
            </w:pPr>
            <w:r w:rsidRPr="009C2DDC">
              <w:rPr>
                <w:rFonts w:asciiTheme="majorHAnsi" w:hAnsiTheme="majorHAnsi" w:cstheme="majorHAnsi"/>
                <w:bCs/>
                <w:sz w:val="20"/>
                <w:szCs w:val="20"/>
              </w:rPr>
              <w:t>77334/8</w:t>
            </w:r>
          </w:p>
          <w:p w14:paraId="147FF5BF" w14:textId="77777777" w:rsidR="009909F4" w:rsidRPr="009C2DDC" w:rsidRDefault="009909F4" w:rsidP="006978D8">
            <w:pPr>
              <w:spacing w:line="276" w:lineRule="auto"/>
              <w:rPr>
                <w:rFonts w:asciiTheme="majorHAnsi" w:hAnsiTheme="majorHAnsi" w:cstheme="majorHAnsi"/>
                <w:bCs/>
                <w:sz w:val="20"/>
                <w:szCs w:val="20"/>
              </w:rPr>
            </w:pPr>
          </w:p>
        </w:tc>
        <w:tc>
          <w:tcPr>
            <w:tcW w:w="2125" w:type="dxa"/>
            <w:tcBorders>
              <w:bottom w:val="single" w:sz="4" w:space="0" w:color="auto"/>
            </w:tcBorders>
            <w:tcMar>
              <w:top w:w="85" w:type="dxa"/>
              <w:bottom w:w="85" w:type="dxa"/>
            </w:tcMar>
          </w:tcPr>
          <w:p w14:paraId="4E2BA9CE" w14:textId="77777777" w:rsidR="009909F4" w:rsidRPr="009C2DDC" w:rsidRDefault="009909F4" w:rsidP="006978D8">
            <w:pPr>
              <w:spacing w:line="276" w:lineRule="auto"/>
              <w:rPr>
                <w:rFonts w:asciiTheme="majorHAnsi" w:hAnsiTheme="majorHAnsi" w:cstheme="majorHAnsi"/>
                <w:bCs/>
                <w:sz w:val="20"/>
                <w:szCs w:val="20"/>
              </w:rPr>
            </w:pPr>
            <w:r w:rsidRPr="009C2DDC">
              <w:rPr>
                <w:rFonts w:asciiTheme="majorHAnsi" w:hAnsiTheme="majorHAnsi" w:cstheme="majorHAnsi"/>
                <w:bCs/>
                <w:sz w:val="20"/>
                <w:szCs w:val="20"/>
              </w:rPr>
              <w:t>Pacific Partnership to End Violence Against Women and Girls (PPEVAWG) Phase 2</w:t>
            </w:r>
          </w:p>
          <w:p w14:paraId="7C1E2E4E" w14:textId="77777777" w:rsidR="009909F4" w:rsidRPr="009C2DDC" w:rsidRDefault="009909F4" w:rsidP="006978D8">
            <w:pPr>
              <w:spacing w:line="276" w:lineRule="auto"/>
              <w:rPr>
                <w:rFonts w:asciiTheme="majorHAnsi" w:hAnsiTheme="majorHAnsi" w:cstheme="majorHAnsi"/>
                <w:bCs/>
                <w:sz w:val="20"/>
                <w:szCs w:val="20"/>
              </w:rPr>
            </w:pPr>
          </w:p>
          <w:p w14:paraId="0C036B3E" w14:textId="2CE36AD0" w:rsidR="009909F4" w:rsidRPr="009C2DDC" w:rsidRDefault="009909F4" w:rsidP="006978D8">
            <w:pPr>
              <w:spacing w:line="276" w:lineRule="auto"/>
              <w:rPr>
                <w:rFonts w:asciiTheme="majorHAnsi" w:hAnsiTheme="majorHAnsi" w:cstheme="majorHAnsi"/>
                <w:bCs/>
                <w:sz w:val="20"/>
                <w:szCs w:val="20"/>
              </w:rPr>
            </w:pPr>
            <w:r w:rsidRPr="009C2DDC">
              <w:rPr>
                <w:rFonts w:asciiTheme="majorHAnsi" w:hAnsiTheme="majorHAnsi" w:cstheme="majorHAnsi"/>
                <w:bCs/>
                <w:sz w:val="20"/>
                <w:szCs w:val="20"/>
              </w:rPr>
              <w:t>(UN Women)</w:t>
            </w:r>
          </w:p>
        </w:tc>
        <w:tc>
          <w:tcPr>
            <w:tcW w:w="3117" w:type="dxa"/>
            <w:tcBorders>
              <w:bottom w:val="single" w:sz="4" w:space="0" w:color="auto"/>
            </w:tcBorders>
            <w:tcMar>
              <w:top w:w="85" w:type="dxa"/>
              <w:bottom w:w="85" w:type="dxa"/>
            </w:tcMar>
          </w:tcPr>
          <w:p w14:paraId="7A35EE9B" w14:textId="789B1414" w:rsidR="009909F4" w:rsidRPr="009C2DDC" w:rsidRDefault="009909F4" w:rsidP="006978D8">
            <w:pPr>
              <w:spacing w:line="276" w:lineRule="auto"/>
              <w:rPr>
                <w:rFonts w:asciiTheme="majorHAnsi" w:hAnsiTheme="majorHAnsi" w:cstheme="majorHAnsi"/>
                <w:bCs/>
                <w:sz w:val="20"/>
                <w:szCs w:val="20"/>
              </w:rPr>
            </w:pPr>
            <w:r w:rsidRPr="009C2DDC">
              <w:rPr>
                <w:rFonts w:asciiTheme="majorHAnsi" w:hAnsiTheme="majorHAnsi" w:cstheme="majorHAnsi"/>
                <w:sz w:val="20"/>
                <w:szCs w:val="20"/>
              </w:rPr>
              <w:t>The Pacific Partnership to End Violence Against Women and Girls Phase II aims to promote gender equality, prevent violence, and improve access to services for survivors. The programme supports regional and national leadership to align legislation and policies with international standards, addressing gaps and securing resources for enforcement. It challenges harmful social norms through community engagement and education, with the Social Citizenship Education project working within schools to promote gender equality. The programme strengthens survivor-centred services by enhancing the capacity of health, justice, and social service providers, while empowering women’s rights movements and amplifying the voices of marginali</w:t>
            </w:r>
            <w:r w:rsidR="00C34CAD">
              <w:rPr>
                <w:rFonts w:asciiTheme="majorHAnsi" w:hAnsiTheme="majorHAnsi" w:cstheme="majorHAnsi"/>
                <w:sz w:val="20"/>
                <w:szCs w:val="20"/>
              </w:rPr>
              <w:t>s</w:t>
            </w:r>
            <w:r w:rsidRPr="009C2DDC">
              <w:rPr>
                <w:rFonts w:asciiTheme="majorHAnsi" w:hAnsiTheme="majorHAnsi" w:cstheme="majorHAnsi"/>
                <w:sz w:val="20"/>
                <w:szCs w:val="20"/>
              </w:rPr>
              <w:t>ed groups.</w:t>
            </w:r>
          </w:p>
        </w:tc>
        <w:tc>
          <w:tcPr>
            <w:tcW w:w="1700" w:type="dxa"/>
            <w:tcBorders>
              <w:bottom w:val="single" w:sz="4" w:space="0" w:color="auto"/>
            </w:tcBorders>
            <w:tcMar>
              <w:top w:w="85" w:type="dxa"/>
              <w:bottom w:w="85" w:type="dxa"/>
            </w:tcMar>
          </w:tcPr>
          <w:p w14:paraId="37B784FE" w14:textId="77777777" w:rsidR="009909F4" w:rsidRPr="009C2DDC" w:rsidRDefault="009909F4" w:rsidP="006978D8">
            <w:pPr>
              <w:spacing w:line="276" w:lineRule="auto"/>
              <w:rPr>
                <w:rFonts w:asciiTheme="majorHAnsi" w:hAnsiTheme="majorHAnsi" w:cstheme="majorHAnsi"/>
                <w:bCs/>
                <w:sz w:val="20"/>
                <w:szCs w:val="20"/>
              </w:rPr>
            </w:pPr>
            <w:r w:rsidRPr="009C2DDC">
              <w:rPr>
                <w:rFonts w:asciiTheme="majorHAnsi" w:hAnsiTheme="majorHAnsi" w:cstheme="majorHAnsi"/>
                <w:bCs/>
                <w:sz w:val="20"/>
                <w:szCs w:val="20"/>
              </w:rPr>
              <w:t>$15,934,693.05</w:t>
            </w:r>
            <w:r w:rsidRPr="009C2DDC">
              <w:rPr>
                <w:rStyle w:val="FootnoteReference"/>
                <w:rFonts w:asciiTheme="majorHAnsi" w:hAnsiTheme="majorHAnsi" w:cstheme="majorHAnsi"/>
                <w:bCs/>
                <w:sz w:val="20"/>
                <w:szCs w:val="20"/>
              </w:rPr>
              <w:footnoteReference w:id="5"/>
            </w:r>
          </w:p>
          <w:p w14:paraId="1675E7DB" w14:textId="77777777" w:rsidR="009909F4" w:rsidRPr="009C2DDC" w:rsidRDefault="009909F4" w:rsidP="006978D8">
            <w:pPr>
              <w:spacing w:line="276" w:lineRule="auto"/>
              <w:rPr>
                <w:rFonts w:asciiTheme="majorHAnsi" w:hAnsiTheme="majorHAnsi" w:cstheme="majorHAnsi"/>
                <w:bCs/>
                <w:sz w:val="20"/>
                <w:szCs w:val="20"/>
              </w:rPr>
            </w:pPr>
          </w:p>
          <w:p w14:paraId="444C7F65" w14:textId="0BA8C240" w:rsidR="009909F4" w:rsidRPr="009C2DDC" w:rsidRDefault="009909F4" w:rsidP="006978D8">
            <w:pPr>
              <w:spacing w:line="276" w:lineRule="auto"/>
              <w:rPr>
                <w:rFonts w:asciiTheme="majorHAnsi" w:hAnsiTheme="majorHAnsi" w:cstheme="majorBidi"/>
                <w:sz w:val="20"/>
                <w:szCs w:val="20"/>
              </w:rPr>
            </w:pPr>
            <w:r w:rsidRPr="009C2DDC">
              <w:rPr>
                <w:rFonts w:asciiTheme="majorHAnsi" w:hAnsiTheme="majorHAnsi" w:cstheme="majorBidi"/>
                <w:sz w:val="20"/>
                <w:szCs w:val="20"/>
              </w:rPr>
              <w:t>202</w:t>
            </w:r>
            <w:r w:rsidR="030F6496" w:rsidRPr="6643C3DA">
              <w:rPr>
                <w:rFonts w:asciiTheme="majorHAnsi" w:hAnsiTheme="majorHAnsi" w:cstheme="majorBidi"/>
                <w:sz w:val="20"/>
                <w:szCs w:val="20"/>
              </w:rPr>
              <w:t>2</w:t>
            </w:r>
            <w:r w:rsidR="006334DF" w:rsidRPr="6643C3DA">
              <w:rPr>
                <w:rFonts w:asciiTheme="majorHAnsi" w:hAnsiTheme="majorHAnsi" w:cstheme="majorBidi"/>
                <w:sz w:val="20"/>
                <w:szCs w:val="20"/>
              </w:rPr>
              <w:t xml:space="preserve"> </w:t>
            </w:r>
            <w:r w:rsidRPr="009C2DDC">
              <w:rPr>
                <w:rFonts w:asciiTheme="majorHAnsi" w:hAnsiTheme="majorHAnsi" w:cstheme="majorBidi"/>
                <w:sz w:val="20"/>
                <w:szCs w:val="20"/>
              </w:rPr>
              <w:t>–</w:t>
            </w:r>
            <w:r w:rsidR="006334DF" w:rsidRPr="6643C3DA">
              <w:rPr>
                <w:rFonts w:asciiTheme="majorHAnsi" w:hAnsiTheme="majorHAnsi" w:cstheme="majorBidi"/>
                <w:sz w:val="20"/>
                <w:szCs w:val="20"/>
              </w:rPr>
              <w:t xml:space="preserve"> </w:t>
            </w:r>
            <w:r w:rsidRPr="009C2DDC">
              <w:rPr>
                <w:rFonts w:asciiTheme="majorHAnsi" w:hAnsiTheme="majorHAnsi" w:cstheme="majorBidi"/>
                <w:sz w:val="20"/>
                <w:szCs w:val="20"/>
              </w:rPr>
              <w:t>2027</w:t>
            </w:r>
          </w:p>
          <w:p w14:paraId="45C0206E" w14:textId="77777777" w:rsidR="009909F4" w:rsidRPr="009C2DDC" w:rsidRDefault="009909F4" w:rsidP="006978D8">
            <w:pPr>
              <w:spacing w:line="276" w:lineRule="auto"/>
              <w:rPr>
                <w:rFonts w:asciiTheme="majorHAnsi" w:hAnsiTheme="majorHAnsi" w:cstheme="majorHAnsi"/>
                <w:bCs/>
                <w:sz w:val="20"/>
                <w:szCs w:val="20"/>
              </w:rPr>
            </w:pPr>
          </w:p>
          <w:p w14:paraId="020F9C49" w14:textId="77777777" w:rsidR="009909F4" w:rsidRPr="009C2DDC" w:rsidRDefault="009909F4" w:rsidP="006978D8">
            <w:pPr>
              <w:spacing w:line="276" w:lineRule="auto"/>
              <w:rPr>
                <w:rFonts w:asciiTheme="majorHAnsi" w:hAnsiTheme="majorHAnsi" w:cstheme="majorHAnsi"/>
                <w:bCs/>
                <w:sz w:val="20"/>
                <w:szCs w:val="20"/>
              </w:rPr>
            </w:pPr>
          </w:p>
        </w:tc>
        <w:tc>
          <w:tcPr>
            <w:tcW w:w="1388" w:type="dxa"/>
            <w:tcBorders>
              <w:bottom w:val="single" w:sz="4" w:space="0" w:color="auto"/>
            </w:tcBorders>
          </w:tcPr>
          <w:p w14:paraId="2BEB4642" w14:textId="4AB9AD58" w:rsidR="009909F4" w:rsidRPr="009C2DDC" w:rsidRDefault="009909F4" w:rsidP="006978D8">
            <w:pPr>
              <w:spacing w:line="276" w:lineRule="auto"/>
              <w:rPr>
                <w:rFonts w:asciiTheme="majorHAnsi" w:hAnsiTheme="majorHAnsi" w:cstheme="majorHAnsi"/>
                <w:bCs/>
                <w:sz w:val="20"/>
                <w:szCs w:val="20"/>
              </w:rPr>
            </w:pPr>
            <w:r w:rsidRPr="009C2DDC">
              <w:rPr>
                <w:rFonts w:asciiTheme="majorHAnsi" w:hAnsiTheme="majorHAnsi" w:cstheme="majorHAnsi"/>
                <w:bCs/>
                <w:sz w:val="20"/>
                <w:szCs w:val="20"/>
              </w:rPr>
              <w:t>Ongoing</w:t>
            </w:r>
          </w:p>
        </w:tc>
      </w:tr>
      <w:tr w:rsidR="006935B5" w:rsidRPr="00262275" w14:paraId="26391851" w14:textId="7053F6E1" w:rsidTr="00491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bottom w:val="single" w:sz="4" w:space="0" w:color="auto"/>
            </w:tcBorders>
            <w:tcMar>
              <w:top w:w="85" w:type="dxa"/>
              <w:bottom w:w="85" w:type="dxa"/>
            </w:tcMar>
          </w:tcPr>
          <w:p w14:paraId="7A56DDF2" w14:textId="06514815" w:rsidR="009909F4" w:rsidRPr="009C2DDC" w:rsidRDefault="006978D0" w:rsidP="006978D8">
            <w:pPr>
              <w:spacing w:line="276" w:lineRule="auto"/>
              <w:rPr>
                <w:rFonts w:asciiTheme="majorHAnsi" w:hAnsiTheme="majorHAnsi" w:cstheme="majorHAnsi"/>
                <w:sz w:val="20"/>
                <w:szCs w:val="20"/>
              </w:rPr>
            </w:pPr>
            <w:r>
              <w:rPr>
                <w:rFonts w:asciiTheme="majorHAnsi" w:hAnsiTheme="majorHAnsi" w:cstheme="majorHAnsi"/>
                <w:sz w:val="20"/>
                <w:szCs w:val="20"/>
              </w:rPr>
              <w:t>10</w:t>
            </w:r>
          </w:p>
        </w:tc>
        <w:tc>
          <w:tcPr>
            <w:tcW w:w="0" w:type="dxa"/>
            <w:tcBorders>
              <w:top w:val="single" w:sz="4" w:space="0" w:color="auto"/>
              <w:bottom w:val="single" w:sz="4" w:space="0" w:color="auto"/>
            </w:tcBorders>
            <w:tcMar>
              <w:top w:w="85" w:type="dxa"/>
              <w:bottom w:w="85" w:type="dxa"/>
            </w:tcMar>
          </w:tcPr>
          <w:p w14:paraId="718D8CD0" w14:textId="77777777"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69294/67</w:t>
            </w:r>
          </w:p>
          <w:p w14:paraId="5E600A29" w14:textId="77777777"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tc>
        <w:tc>
          <w:tcPr>
            <w:tcW w:w="0" w:type="dxa"/>
            <w:tcBorders>
              <w:top w:val="single" w:sz="4" w:space="0" w:color="auto"/>
              <w:bottom w:val="single" w:sz="4" w:space="0" w:color="auto"/>
            </w:tcBorders>
            <w:tcMar>
              <w:top w:w="85" w:type="dxa"/>
              <w:bottom w:w="85" w:type="dxa"/>
            </w:tcMar>
          </w:tcPr>
          <w:p w14:paraId="3D027623" w14:textId="11681CC0"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Pacific Community’s (SPC) Human Rights and Social Development (HRSD) Division Support</w:t>
            </w:r>
          </w:p>
        </w:tc>
        <w:tc>
          <w:tcPr>
            <w:tcW w:w="0" w:type="dxa"/>
            <w:tcBorders>
              <w:top w:val="single" w:sz="4" w:space="0" w:color="auto"/>
              <w:bottom w:val="single" w:sz="4" w:space="0" w:color="auto"/>
            </w:tcBorders>
            <w:tcMar>
              <w:top w:w="85" w:type="dxa"/>
              <w:bottom w:w="85" w:type="dxa"/>
            </w:tcMar>
          </w:tcPr>
          <w:p w14:paraId="227AF2CF" w14:textId="5BA2C503"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 xml:space="preserve">This project provides program funding to support the implementation of the SPC HRSD Business Plan 2021-2026. The plan focuses on strengthening inclusive, transparent, and responsive governance and institutions for human rights and social development; promoting gender equality, equity, and social inclusion; preserving and protecting positive cultural expressions; and accelerating impact through knowledge, learning, and innovation. The </w:t>
            </w:r>
            <w:r w:rsidRPr="009C2DDC">
              <w:rPr>
                <w:rFonts w:asciiTheme="majorHAnsi" w:hAnsiTheme="majorHAnsi" w:cstheme="majorHAnsi"/>
                <w:bCs/>
                <w:sz w:val="20"/>
                <w:szCs w:val="20"/>
              </w:rPr>
              <w:lastRenderedPageBreak/>
              <w:t>project aims to achieve a just, equitable, and resilient Pacific Island society by ensuring that state laws, policies, and institutions uphold the rights of all people, providing equitable access to social services and economic opportunities for women, youth, and marginalised groups, promoting non-violence and inclusion in communities, and safeguarding cultural heritage.</w:t>
            </w:r>
          </w:p>
        </w:tc>
        <w:tc>
          <w:tcPr>
            <w:tcW w:w="0" w:type="dxa"/>
            <w:tcBorders>
              <w:top w:val="single" w:sz="4" w:space="0" w:color="auto"/>
              <w:bottom w:val="single" w:sz="4" w:space="0" w:color="auto"/>
            </w:tcBorders>
            <w:tcMar>
              <w:top w:w="85" w:type="dxa"/>
              <w:bottom w:w="85" w:type="dxa"/>
            </w:tcMar>
          </w:tcPr>
          <w:p w14:paraId="27E0F464" w14:textId="77777777"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lastRenderedPageBreak/>
              <w:t>$2,700,000</w:t>
            </w:r>
          </w:p>
          <w:p w14:paraId="7C0C72E5" w14:textId="77777777"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p w14:paraId="04A0C1D7" w14:textId="3E31954A"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2022</w:t>
            </w:r>
            <w:r w:rsidR="00DD119D">
              <w:rPr>
                <w:rFonts w:asciiTheme="majorHAnsi" w:hAnsiTheme="majorHAnsi" w:cstheme="majorHAnsi"/>
                <w:bCs/>
                <w:sz w:val="20"/>
                <w:szCs w:val="20"/>
              </w:rPr>
              <w:t xml:space="preserve"> </w:t>
            </w:r>
            <w:r w:rsidRPr="009C2DDC">
              <w:rPr>
                <w:rFonts w:asciiTheme="majorHAnsi" w:hAnsiTheme="majorHAnsi" w:cstheme="majorHAnsi"/>
                <w:bCs/>
                <w:sz w:val="20"/>
                <w:szCs w:val="20"/>
              </w:rPr>
              <w:t>–</w:t>
            </w:r>
            <w:r w:rsidR="00DD119D">
              <w:rPr>
                <w:rFonts w:asciiTheme="majorHAnsi" w:hAnsiTheme="majorHAnsi" w:cstheme="majorHAnsi"/>
                <w:bCs/>
                <w:sz w:val="20"/>
                <w:szCs w:val="20"/>
              </w:rPr>
              <w:t xml:space="preserve"> </w:t>
            </w:r>
            <w:r w:rsidRPr="009C2DDC">
              <w:rPr>
                <w:rFonts w:asciiTheme="majorHAnsi" w:hAnsiTheme="majorHAnsi" w:cstheme="majorHAnsi"/>
                <w:bCs/>
                <w:sz w:val="20"/>
                <w:szCs w:val="20"/>
              </w:rPr>
              <w:t>2026</w:t>
            </w:r>
          </w:p>
        </w:tc>
        <w:tc>
          <w:tcPr>
            <w:tcW w:w="0" w:type="dxa"/>
            <w:tcBorders>
              <w:top w:val="single" w:sz="4" w:space="0" w:color="auto"/>
              <w:bottom w:val="single" w:sz="4" w:space="0" w:color="auto"/>
            </w:tcBorders>
          </w:tcPr>
          <w:p w14:paraId="60330F45" w14:textId="72F23790"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Ongoing</w:t>
            </w:r>
          </w:p>
        </w:tc>
      </w:tr>
      <w:tr w:rsidR="006935B5" w:rsidRPr="006978D0" w14:paraId="7B0B3121" w14:textId="77777777" w:rsidTr="00491EEE">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bottom w:val="single" w:sz="4" w:space="0" w:color="7F7F7F" w:themeColor="text1" w:themeTint="80"/>
            </w:tcBorders>
            <w:tcMar>
              <w:top w:w="85" w:type="dxa"/>
              <w:bottom w:w="85" w:type="dxa"/>
            </w:tcMar>
          </w:tcPr>
          <w:p w14:paraId="24E1FCBC" w14:textId="10AD5E3C" w:rsidR="009909F4" w:rsidRPr="009C2DDC" w:rsidRDefault="009909F4" w:rsidP="006978D8">
            <w:pPr>
              <w:spacing w:line="276" w:lineRule="auto"/>
              <w:rPr>
                <w:rFonts w:asciiTheme="majorHAnsi" w:hAnsiTheme="majorHAnsi" w:cstheme="majorHAnsi"/>
                <w:sz w:val="20"/>
                <w:szCs w:val="20"/>
              </w:rPr>
            </w:pPr>
            <w:r w:rsidRPr="00062A79">
              <w:rPr>
                <w:rFonts w:asciiTheme="majorHAnsi" w:hAnsiTheme="majorHAnsi" w:cstheme="majorHAnsi"/>
                <w:sz w:val="20"/>
                <w:szCs w:val="20"/>
              </w:rPr>
              <w:t>1</w:t>
            </w:r>
            <w:r w:rsidR="006978D0">
              <w:rPr>
                <w:rFonts w:asciiTheme="majorHAnsi" w:hAnsiTheme="majorHAnsi" w:cstheme="majorHAnsi"/>
                <w:sz w:val="20"/>
                <w:szCs w:val="20"/>
              </w:rPr>
              <w:t>1</w:t>
            </w:r>
          </w:p>
        </w:tc>
        <w:tc>
          <w:tcPr>
            <w:tcW w:w="0" w:type="dxa"/>
            <w:tcBorders>
              <w:top w:val="single" w:sz="4" w:space="0" w:color="auto"/>
              <w:bottom w:val="single" w:sz="4" w:space="0" w:color="7F7F7F" w:themeColor="text1" w:themeTint="80"/>
            </w:tcBorders>
            <w:tcMar>
              <w:top w:w="85" w:type="dxa"/>
              <w:bottom w:w="85" w:type="dxa"/>
            </w:tcMar>
          </w:tcPr>
          <w:p w14:paraId="0CA9748B" w14:textId="77777777"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69294/46</w:t>
            </w:r>
          </w:p>
          <w:p w14:paraId="5BE8AD78" w14:textId="77777777"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tc>
        <w:tc>
          <w:tcPr>
            <w:tcW w:w="0" w:type="dxa"/>
            <w:tcBorders>
              <w:top w:val="single" w:sz="4" w:space="0" w:color="auto"/>
              <w:bottom w:val="single" w:sz="4" w:space="0" w:color="7F7F7F" w:themeColor="text1" w:themeTint="80"/>
            </w:tcBorders>
            <w:tcMar>
              <w:top w:w="85" w:type="dxa"/>
              <w:bottom w:w="85" w:type="dxa"/>
            </w:tcMar>
          </w:tcPr>
          <w:p w14:paraId="0853BE8C" w14:textId="77777777"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 xml:space="preserve">Progressing Gender Equality in the Pacific </w:t>
            </w:r>
          </w:p>
          <w:p w14:paraId="0FC1AE32" w14:textId="77777777"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p w14:paraId="14446386" w14:textId="5BAF0895"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(Human and Social Development Division - SPC)</w:t>
            </w:r>
          </w:p>
        </w:tc>
        <w:tc>
          <w:tcPr>
            <w:tcW w:w="0" w:type="dxa"/>
            <w:tcBorders>
              <w:top w:val="single" w:sz="4" w:space="0" w:color="auto"/>
              <w:bottom w:val="single" w:sz="4" w:space="0" w:color="7F7F7F" w:themeColor="text1" w:themeTint="80"/>
            </w:tcBorders>
            <w:tcMar>
              <w:top w:w="85" w:type="dxa"/>
              <w:bottom w:w="85" w:type="dxa"/>
            </w:tcMar>
          </w:tcPr>
          <w:p w14:paraId="1EAAB75E" w14:textId="77777777"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 xml:space="preserve">This project focused on strengthening gender mainstreaming by enhancing policy design, implementation, and monitoring to advance gender equality outcomes. It worked to build the capacity of Pacific governments to integrate gender considerations across policies, programs and services. </w:t>
            </w:r>
          </w:p>
          <w:p w14:paraId="164940A8" w14:textId="77777777"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p w14:paraId="134226A7" w14:textId="77777777"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The project also supported improved collection, analysis, and use of gender data and statistics at both country and regional levels. By strengthening data systems, the project aimed to provide evidence that informs policy decisions, tracks progress on gender equality commitments and ensures that the needs and experiences of women and men were accurately represented.</w:t>
            </w:r>
          </w:p>
        </w:tc>
        <w:tc>
          <w:tcPr>
            <w:tcW w:w="0" w:type="dxa"/>
            <w:tcBorders>
              <w:top w:val="single" w:sz="4" w:space="0" w:color="auto"/>
              <w:bottom w:val="single" w:sz="4" w:space="0" w:color="7F7F7F" w:themeColor="text1" w:themeTint="80"/>
            </w:tcBorders>
            <w:tcMar>
              <w:top w:w="85" w:type="dxa"/>
              <w:bottom w:w="85" w:type="dxa"/>
            </w:tcMar>
          </w:tcPr>
          <w:p w14:paraId="6BD1A24B" w14:textId="77777777"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$2,156,401</w:t>
            </w:r>
          </w:p>
          <w:p w14:paraId="644BF7FA" w14:textId="77777777"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p w14:paraId="51751ED7" w14:textId="685B8827"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2021</w:t>
            </w:r>
            <w:r w:rsidR="00FF4A92">
              <w:rPr>
                <w:rFonts w:asciiTheme="majorHAnsi" w:hAnsiTheme="majorHAnsi" w:cstheme="majorHAnsi"/>
                <w:bCs/>
                <w:sz w:val="20"/>
                <w:szCs w:val="20"/>
              </w:rPr>
              <w:t xml:space="preserve"> </w:t>
            </w:r>
            <w:r w:rsidRPr="009C2DDC">
              <w:rPr>
                <w:rFonts w:asciiTheme="majorHAnsi" w:hAnsiTheme="majorHAnsi" w:cstheme="majorHAnsi"/>
                <w:bCs/>
                <w:sz w:val="20"/>
                <w:szCs w:val="20"/>
              </w:rPr>
              <w:t>–</w:t>
            </w:r>
            <w:r w:rsidR="00FF4A92">
              <w:rPr>
                <w:rFonts w:asciiTheme="majorHAnsi" w:hAnsiTheme="majorHAnsi" w:cstheme="majorHAnsi"/>
                <w:bCs/>
                <w:sz w:val="20"/>
                <w:szCs w:val="20"/>
              </w:rPr>
              <w:t xml:space="preserve"> </w:t>
            </w:r>
            <w:r w:rsidRPr="009C2DDC">
              <w:rPr>
                <w:rFonts w:asciiTheme="majorHAnsi" w:hAnsiTheme="majorHAnsi" w:cstheme="majorHAnsi"/>
                <w:bCs/>
                <w:sz w:val="20"/>
                <w:szCs w:val="20"/>
              </w:rPr>
              <w:t>2023</w:t>
            </w:r>
          </w:p>
          <w:p w14:paraId="152D02F6" w14:textId="77777777"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tc>
        <w:tc>
          <w:tcPr>
            <w:tcW w:w="0" w:type="dxa"/>
            <w:tcBorders>
              <w:top w:val="single" w:sz="4" w:space="0" w:color="auto"/>
              <w:bottom w:val="single" w:sz="4" w:space="0" w:color="7F7F7F" w:themeColor="text1" w:themeTint="80"/>
            </w:tcBorders>
          </w:tcPr>
          <w:p w14:paraId="7AD75D92" w14:textId="75DA6517"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Completed</w:t>
            </w:r>
            <w:r w:rsidR="00DA159E">
              <w:rPr>
                <w:rFonts w:asciiTheme="majorHAnsi" w:hAnsiTheme="majorHAnsi" w:cstheme="majorHAnsi"/>
                <w:bCs/>
                <w:sz w:val="20"/>
                <w:szCs w:val="20"/>
              </w:rPr>
              <w:t xml:space="preserve"> </w:t>
            </w:r>
            <w:r w:rsidRPr="009C2DDC">
              <w:rPr>
                <w:rStyle w:val="FootnoteReference"/>
                <w:rFonts w:asciiTheme="majorHAnsi" w:hAnsiTheme="majorHAnsi" w:cstheme="majorHAnsi"/>
                <w:bCs/>
                <w:sz w:val="20"/>
                <w:szCs w:val="20"/>
              </w:rPr>
              <w:footnoteReference w:id="6"/>
            </w:r>
          </w:p>
          <w:p w14:paraId="332DB1CF" w14:textId="77777777"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tc>
      </w:tr>
      <w:tr w:rsidR="00CE74AD" w:rsidRPr="00262275" w14:paraId="38B3E95D" w14:textId="38F8E30B" w:rsidTr="6643C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bottom w:val="single" w:sz="4" w:space="0" w:color="auto"/>
            </w:tcBorders>
            <w:tcMar>
              <w:top w:w="85" w:type="dxa"/>
              <w:bottom w:w="85" w:type="dxa"/>
            </w:tcMar>
          </w:tcPr>
          <w:p w14:paraId="7766B2A4" w14:textId="5C8ABC7B" w:rsidR="009909F4" w:rsidRPr="009C2DDC" w:rsidRDefault="00CE74AD" w:rsidP="006978D8">
            <w:pPr>
              <w:spacing w:line="276" w:lineRule="auto"/>
              <w:rPr>
                <w:rFonts w:asciiTheme="majorHAnsi" w:hAnsiTheme="majorHAnsi" w:cstheme="majorHAnsi"/>
                <w:sz w:val="20"/>
                <w:szCs w:val="20"/>
              </w:rPr>
            </w:pPr>
            <w:r>
              <w:rPr>
                <w:rFonts w:asciiTheme="majorHAnsi" w:hAnsiTheme="majorHAnsi" w:cstheme="majorHAnsi"/>
                <w:sz w:val="20"/>
                <w:szCs w:val="20"/>
              </w:rPr>
              <w:t>12</w:t>
            </w:r>
          </w:p>
        </w:tc>
        <w:tc>
          <w:tcPr>
            <w:tcW w:w="1133" w:type="dxa"/>
            <w:tcBorders>
              <w:bottom w:val="single" w:sz="4" w:space="0" w:color="auto"/>
            </w:tcBorders>
            <w:tcMar>
              <w:top w:w="85" w:type="dxa"/>
              <w:bottom w:w="85" w:type="dxa"/>
            </w:tcMar>
          </w:tcPr>
          <w:p w14:paraId="39E027E7" w14:textId="77777777"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78400</w:t>
            </w:r>
          </w:p>
        </w:tc>
        <w:tc>
          <w:tcPr>
            <w:tcW w:w="2125" w:type="dxa"/>
            <w:tcBorders>
              <w:bottom w:val="single" w:sz="4" w:space="0" w:color="auto"/>
            </w:tcBorders>
            <w:tcMar>
              <w:top w:w="85" w:type="dxa"/>
              <w:bottom w:w="85" w:type="dxa"/>
            </w:tcMar>
          </w:tcPr>
          <w:p w14:paraId="181A30BB" w14:textId="77777777"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Progressing Pacific Islands Forum (PIF) Gender Equality, Disability and Social Inclusion Priorities</w:t>
            </w:r>
          </w:p>
          <w:p w14:paraId="0E2923EA" w14:textId="3FCC236A"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lang w:val="en-US"/>
              </w:rPr>
              <w:t xml:space="preserve"> </w:t>
            </w:r>
          </w:p>
          <w:p w14:paraId="1EE59F31" w14:textId="45487255"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(Pacific Island Forum Secretariat)</w:t>
            </w:r>
          </w:p>
        </w:tc>
        <w:tc>
          <w:tcPr>
            <w:tcW w:w="3117" w:type="dxa"/>
            <w:tcBorders>
              <w:bottom w:val="single" w:sz="4" w:space="0" w:color="auto"/>
            </w:tcBorders>
            <w:tcMar>
              <w:top w:w="85" w:type="dxa"/>
              <w:bottom w:w="85" w:type="dxa"/>
            </w:tcMar>
          </w:tcPr>
          <w:p w14:paraId="57408DD9" w14:textId="197DEF0D"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 xml:space="preserve">This project provides funding for the Pacific Islands Forum Women Leaders Meeting (PIFWLM) and supports broader gender equality and disability inclusion efforts by the Secretariat, including the implementation of PIFWLM outcomes and the coordination and monitoring of key regional frameworks such as the revitalised Pacific Leaders Gender Equality Declaration (PLGED), the Pacific Framework on the Rights of Persons with </w:t>
            </w:r>
            <w:r w:rsidRPr="009C2DDC">
              <w:rPr>
                <w:rFonts w:asciiTheme="majorHAnsi" w:hAnsiTheme="majorHAnsi" w:cstheme="majorHAnsi"/>
                <w:bCs/>
                <w:sz w:val="20"/>
                <w:szCs w:val="20"/>
              </w:rPr>
              <w:lastRenderedPageBreak/>
              <w:t xml:space="preserve">Disabilities (PFRPD), and the Gender Equality and Social Inclusion (GESI) commitments outlined in the 2050 Strategy Implementation Plan. </w:t>
            </w:r>
          </w:p>
        </w:tc>
        <w:tc>
          <w:tcPr>
            <w:tcW w:w="1700" w:type="dxa"/>
            <w:tcBorders>
              <w:bottom w:val="single" w:sz="4" w:space="0" w:color="auto"/>
            </w:tcBorders>
            <w:tcMar>
              <w:top w:w="85" w:type="dxa"/>
              <w:bottom w:w="85" w:type="dxa"/>
            </w:tcMar>
          </w:tcPr>
          <w:p w14:paraId="5D26B19F" w14:textId="77777777"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lastRenderedPageBreak/>
              <w:t>$3,902,976</w:t>
            </w:r>
          </w:p>
          <w:p w14:paraId="3078F6C8" w14:textId="77777777"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p w14:paraId="2BA01E37" w14:textId="64BFDE57"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2023</w:t>
            </w:r>
            <w:r w:rsidR="00AD7B76" w:rsidRPr="009C2DDC">
              <w:rPr>
                <w:rFonts w:asciiTheme="majorHAnsi" w:hAnsiTheme="majorHAnsi" w:cstheme="majorHAnsi"/>
                <w:bCs/>
                <w:sz w:val="20"/>
                <w:szCs w:val="20"/>
              </w:rPr>
              <w:t xml:space="preserve"> </w:t>
            </w:r>
            <w:r w:rsidRPr="009C2DDC">
              <w:rPr>
                <w:rFonts w:asciiTheme="majorHAnsi" w:hAnsiTheme="majorHAnsi" w:cstheme="majorHAnsi"/>
                <w:bCs/>
                <w:sz w:val="20"/>
                <w:szCs w:val="20"/>
              </w:rPr>
              <w:t>–</w:t>
            </w:r>
            <w:r w:rsidR="00AD7B76" w:rsidRPr="009C2DDC">
              <w:rPr>
                <w:rFonts w:asciiTheme="majorHAnsi" w:hAnsiTheme="majorHAnsi" w:cstheme="majorHAnsi"/>
                <w:bCs/>
                <w:sz w:val="20"/>
                <w:szCs w:val="20"/>
              </w:rPr>
              <w:t xml:space="preserve"> </w:t>
            </w:r>
            <w:r w:rsidRPr="009C2DDC">
              <w:rPr>
                <w:rFonts w:asciiTheme="majorHAnsi" w:hAnsiTheme="majorHAnsi" w:cstheme="majorHAnsi"/>
                <w:bCs/>
                <w:sz w:val="20"/>
                <w:szCs w:val="20"/>
              </w:rPr>
              <w:t>2026</w:t>
            </w:r>
          </w:p>
        </w:tc>
        <w:tc>
          <w:tcPr>
            <w:tcW w:w="1388" w:type="dxa"/>
            <w:tcBorders>
              <w:bottom w:val="single" w:sz="4" w:space="0" w:color="auto"/>
            </w:tcBorders>
          </w:tcPr>
          <w:p w14:paraId="3F2AF004" w14:textId="06E66F8C"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Ongoing</w:t>
            </w:r>
          </w:p>
        </w:tc>
      </w:tr>
      <w:tr w:rsidR="00CE74AD" w:rsidRPr="00262275" w14:paraId="72127689" w14:textId="711CBB7A" w:rsidTr="6643C3DA">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bottom w:val="single" w:sz="4" w:space="0" w:color="auto"/>
            </w:tcBorders>
            <w:tcMar>
              <w:top w:w="85" w:type="dxa"/>
              <w:bottom w:w="85" w:type="dxa"/>
            </w:tcMar>
          </w:tcPr>
          <w:p w14:paraId="3068ED68" w14:textId="1C1D96E2" w:rsidR="009909F4" w:rsidRPr="009C2DDC" w:rsidRDefault="00CE74AD" w:rsidP="006978D8">
            <w:pPr>
              <w:spacing w:line="276" w:lineRule="auto"/>
              <w:rPr>
                <w:rFonts w:asciiTheme="majorHAnsi" w:hAnsiTheme="majorHAnsi" w:cstheme="majorHAnsi"/>
                <w:sz w:val="20"/>
                <w:szCs w:val="20"/>
              </w:rPr>
            </w:pPr>
            <w:r>
              <w:rPr>
                <w:rFonts w:asciiTheme="majorHAnsi" w:hAnsiTheme="majorHAnsi" w:cstheme="majorHAnsi"/>
                <w:sz w:val="20"/>
                <w:szCs w:val="20"/>
              </w:rPr>
              <w:t>13</w:t>
            </w:r>
          </w:p>
        </w:tc>
        <w:tc>
          <w:tcPr>
            <w:tcW w:w="1133" w:type="dxa"/>
            <w:tcBorders>
              <w:top w:val="single" w:sz="4" w:space="0" w:color="auto"/>
              <w:bottom w:val="single" w:sz="4" w:space="0" w:color="auto"/>
            </w:tcBorders>
            <w:tcMar>
              <w:top w:w="85" w:type="dxa"/>
              <w:bottom w:w="85" w:type="dxa"/>
            </w:tcMar>
          </w:tcPr>
          <w:p w14:paraId="22EBA163" w14:textId="77777777"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76453</w:t>
            </w:r>
          </w:p>
          <w:p w14:paraId="44686A93" w14:textId="77777777"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tc>
        <w:tc>
          <w:tcPr>
            <w:tcW w:w="2125" w:type="dxa"/>
            <w:tcBorders>
              <w:top w:val="single" w:sz="4" w:space="0" w:color="auto"/>
              <w:bottom w:val="single" w:sz="4" w:space="0" w:color="auto"/>
            </w:tcBorders>
            <w:tcMar>
              <w:top w:w="85" w:type="dxa"/>
              <w:bottom w:w="85" w:type="dxa"/>
            </w:tcMar>
          </w:tcPr>
          <w:p w14:paraId="449B1307" w14:textId="77777777"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proofErr w:type="spellStart"/>
            <w:r w:rsidRPr="009C2DDC">
              <w:rPr>
                <w:rFonts w:asciiTheme="majorHAnsi" w:hAnsiTheme="majorHAnsi" w:cstheme="majorHAnsi"/>
                <w:bCs/>
                <w:sz w:val="20"/>
                <w:szCs w:val="20"/>
              </w:rPr>
              <w:t>RiseUp</w:t>
            </w:r>
            <w:proofErr w:type="spellEnd"/>
            <w:r w:rsidRPr="009C2DDC">
              <w:rPr>
                <w:rFonts w:asciiTheme="majorHAnsi" w:hAnsiTheme="majorHAnsi" w:cstheme="majorHAnsi"/>
                <w:bCs/>
                <w:sz w:val="20"/>
                <w:szCs w:val="20"/>
              </w:rPr>
              <w:t>! Mobilising Young Women's Leadership and Advocacy Phase IV</w:t>
            </w:r>
            <w:r w:rsidRPr="009C2DDC">
              <w:rPr>
                <w:rFonts w:asciiTheme="majorHAnsi" w:hAnsiTheme="majorHAnsi" w:cstheme="majorHAnsi"/>
                <w:bCs/>
                <w:sz w:val="20"/>
                <w:szCs w:val="20"/>
                <w:lang w:val="en-US"/>
              </w:rPr>
              <w:t xml:space="preserve"> </w:t>
            </w:r>
          </w:p>
          <w:p w14:paraId="7968E41A" w14:textId="77777777"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p>
          <w:p w14:paraId="74CD614A" w14:textId="3899A558"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lang w:val="en-US"/>
              </w:rPr>
              <w:t>(World YWCA)</w:t>
            </w:r>
          </w:p>
        </w:tc>
        <w:tc>
          <w:tcPr>
            <w:tcW w:w="3117" w:type="dxa"/>
            <w:tcBorders>
              <w:top w:val="single" w:sz="4" w:space="0" w:color="auto"/>
              <w:bottom w:val="single" w:sz="4" w:space="0" w:color="auto"/>
            </w:tcBorders>
            <w:tcMar>
              <w:top w:w="85" w:type="dxa"/>
              <w:bottom w:w="85" w:type="dxa"/>
            </w:tcMar>
          </w:tcPr>
          <w:p w14:paraId="061A5690" w14:textId="3383EC0D" w:rsidR="009909F4" w:rsidRPr="009C2DDC" w:rsidRDefault="007321BC"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A707C6">
              <w:rPr>
                <w:rFonts w:asciiTheme="majorHAnsi" w:hAnsiTheme="majorHAnsi" w:cstheme="majorHAnsi"/>
                <w:bCs/>
                <w:sz w:val="20"/>
                <w:szCs w:val="20"/>
                <w:lang w:val="en-US"/>
              </w:rPr>
              <w:t xml:space="preserve">World YWCA works with national-level YWCAs to provide training, networking and peer support to young women between the ages of 18 and 30 years.  </w:t>
            </w:r>
          </w:p>
        </w:tc>
        <w:tc>
          <w:tcPr>
            <w:tcW w:w="1700" w:type="dxa"/>
            <w:tcBorders>
              <w:top w:val="single" w:sz="4" w:space="0" w:color="auto"/>
              <w:bottom w:val="single" w:sz="4" w:space="0" w:color="auto"/>
            </w:tcBorders>
            <w:tcMar>
              <w:top w:w="85" w:type="dxa"/>
              <w:bottom w:w="85" w:type="dxa"/>
            </w:tcMar>
          </w:tcPr>
          <w:p w14:paraId="0F7445E0" w14:textId="77777777"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$6,000,000</w:t>
            </w:r>
          </w:p>
          <w:p w14:paraId="7AA95DF1" w14:textId="77777777"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p>
          <w:p w14:paraId="3B777D66" w14:textId="47F44EBF"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lang w:val="en-US"/>
              </w:rPr>
              <w:t>2020</w:t>
            </w:r>
            <w:r w:rsidR="00C9054B">
              <w:rPr>
                <w:rFonts w:asciiTheme="majorHAnsi" w:hAnsiTheme="majorHAnsi" w:cstheme="majorHAnsi"/>
                <w:bCs/>
                <w:sz w:val="20"/>
                <w:szCs w:val="20"/>
                <w:lang w:val="en-US"/>
              </w:rPr>
              <w:t xml:space="preserve"> </w:t>
            </w:r>
            <w:r w:rsidRPr="009C2DDC">
              <w:rPr>
                <w:rFonts w:asciiTheme="majorHAnsi" w:hAnsiTheme="majorHAnsi" w:cstheme="majorHAnsi"/>
                <w:bCs/>
                <w:sz w:val="20"/>
                <w:szCs w:val="20"/>
                <w:lang w:val="en-US"/>
              </w:rPr>
              <w:t>–</w:t>
            </w:r>
            <w:r w:rsidR="00C9054B">
              <w:rPr>
                <w:rFonts w:asciiTheme="majorHAnsi" w:hAnsiTheme="majorHAnsi" w:cstheme="majorHAnsi"/>
                <w:bCs/>
                <w:sz w:val="20"/>
                <w:szCs w:val="20"/>
                <w:lang w:val="en-US"/>
              </w:rPr>
              <w:t xml:space="preserve"> </w:t>
            </w:r>
            <w:r w:rsidRPr="009C2DDC">
              <w:rPr>
                <w:rFonts w:asciiTheme="majorHAnsi" w:hAnsiTheme="majorHAnsi" w:cstheme="majorHAnsi"/>
                <w:bCs/>
                <w:sz w:val="20"/>
                <w:szCs w:val="20"/>
                <w:lang w:val="en-US"/>
              </w:rPr>
              <w:t>2025</w:t>
            </w:r>
          </w:p>
        </w:tc>
        <w:tc>
          <w:tcPr>
            <w:tcW w:w="1388" w:type="dxa"/>
            <w:tcBorders>
              <w:top w:val="single" w:sz="4" w:space="0" w:color="auto"/>
              <w:bottom w:val="single" w:sz="4" w:space="0" w:color="auto"/>
            </w:tcBorders>
          </w:tcPr>
          <w:p w14:paraId="76511E92" w14:textId="3575AC8A" w:rsidR="009909F4" w:rsidRPr="009C2DDC" w:rsidRDefault="009909F4"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Ongoing</w:t>
            </w:r>
          </w:p>
        </w:tc>
      </w:tr>
      <w:tr w:rsidR="006935B5" w:rsidRPr="00262275" w14:paraId="630F0362" w14:textId="72E7E938" w:rsidTr="00491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auto"/>
              <w:bottom w:val="single" w:sz="4" w:space="0" w:color="auto"/>
            </w:tcBorders>
            <w:tcMar>
              <w:top w:w="85" w:type="dxa"/>
              <w:bottom w:w="85" w:type="dxa"/>
            </w:tcMar>
          </w:tcPr>
          <w:p w14:paraId="52881FEA" w14:textId="16097D82" w:rsidR="009909F4" w:rsidRPr="009C2DDC" w:rsidRDefault="00CE74AD" w:rsidP="006978D8">
            <w:pPr>
              <w:spacing w:line="276" w:lineRule="auto"/>
              <w:rPr>
                <w:rFonts w:asciiTheme="majorHAnsi" w:hAnsiTheme="majorHAnsi" w:cstheme="majorHAnsi"/>
                <w:sz w:val="20"/>
                <w:szCs w:val="20"/>
              </w:rPr>
            </w:pPr>
            <w:r>
              <w:rPr>
                <w:rFonts w:asciiTheme="majorHAnsi" w:hAnsiTheme="majorHAnsi" w:cstheme="majorHAnsi"/>
                <w:sz w:val="20"/>
                <w:szCs w:val="20"/>
              </w:rPr>
              <w:t>14</w:t>
            </w:r>
          </w:p>
        </w:tc>
        <w:tc>
          <w:tcPr>
            <w:tcW w:w="0" w:type="dxa"/>
            <w:tcBorders>
              <w:top w:val="single" w:sz="4" w:space="0" w:color="auto"/>
              <w:bottom w:val="single" w:sz="4" w:space="0" w:color="auto"/>
            </w:tcBorders>
            <w:tcMar>
              <w:top w:w="85" w:type="dxa"/>
              <w:bottom w:w="85" w:type="dxa"/>
            </w:tcMar>
          </w:tcPr>
          <w:p w14:paraId="4B3D2741" w14:textId="13524D81"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 xml:space="preserve">UN Women Trust Fund recipient </w:t>
            </w:r>
          </w:p>
        </w:tc>
        <w:tc>
          <w:tcPr>
            <w:tcW w:w="0" w:type="dxa"/>
            <w:tcBorders>
              <w:top w:val="single" w:sz="4" w:space="0" w:color="auto"/>
              <w:bottom w:val="single" w:sz="4" w:space="0" w:color="auto"/>
            </w:tcBorders>
            <w:tcMar>
              <w:top w:w="85" w:type="dxa"/>
              <w:bottom w:w="85" w:type="dxa"/>
            </w:tcMar>
          </w:tcPr>
          <w:p w14:paraId="7B9E1177" w14:textId="77777777"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Women and Girls Accessing Essential, Safe and Secured GBV Services in Solomon Islands</w:t>
            </w:r>
          </w:p>
          <w:p w14:paraId="7A110966" w14:textId="77777777"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p w14:paraId="0417BAE3" w14:textId="2A2CBE40"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(Family Support Centre)</w:t>
            </w:r>
          </w:p>
        </w:tc>
        <w:tc>
          <w:tcPr>
            <w:tcW w:w="0" w:type="dxa"/>
            <w:tcBorders>
              <w:top w:val="single" w:sz="4" w:space="0" w:color="auto"/>
              <w:bottom w:val="single" w:sz="4" w:space="0" w:color="auto"/>
            </w:tcBorders>
            <w:tcMar>
              <w:top w:w="85" w:type="dxa"/>
              <w:bottom w:w="85" w:type="dxa"/>
            </w:tcMar>
          </w:tcPr>
          <w:p w14:paraId="1D695AE0" w14:textId="4F5FF178"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This project strengthens GBV Provincial Committees, improves service access for women and girls, raises awareness in schools, and builds a network for sharing best practices. It aims to create a safer environment, ensuring all women and girls, including those with disabilities, can seek support without barriers.</w:t>
            </w:r>
          </w:p>
        </w:tc>
        <w:tc>
          <w:tcPr>
            <w:tcW w:w="0" w:type="dxa"/>
            <w:tcBorders>
              <w:top w:val="single" w:sz="4" w:space="0" w:color="auto"/>
              <w:bottom w:val="single" w:sz="4" w:space="0" w:color="auto"/>
            </w:tcBorders>
            <w:tcMar>
              <w:top w:w="85" w:type="dxa"/>
              <w:bottom w:w="85" w:type="dxa"/>
            </w:tcMar>
          </w:tcPr>
          <w:p w14:paraId="3EBA7D7D" w14:textId="77777777" w:rsidR="0011741D" w:rsidRDefault="0011741D"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$1,392,315.84</w:t>
            </w:r>
          </w:p>
          <w:p w14:paraId="136D0C90" w14:textId="77777777" w:rsidR="0011741D" w:rsidRPr="00A707C6" w:rsidRDefault="0011741D"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DD016FE" w14:textId="0C2ADE8B" w:rsidR="009909F4" w:rsidRPr="009C2DDC" w:rsidRDefault="0011741D"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A707C6">
              <w:rPr>
                <w:rFonts w:asciiTheme="majorHAnsi" w:hAnsiTheme="majorHAnsi" w:cstheme="majorHAnsi"/>
                <w:sz w:val="20"/>
                <w:szCs w:val="20"/>
              </w:rPr>
              <w:t>2024</w:t>
            </w:r>
            <w:r>
              <w:rPr>
                <w:rFonts w:asciiTheme="majorHAnsi" w:hAnsiTheme="majorHAnsi" w:cstheme="majorHAnsi"/>
                <w:sz w:val="20"/>
                <w:szCs w:val="20"/>
              </w:rPr>
              <w:t xml:space="preserve"> – </w:t>
            </w:r>
            <w:r w:rsidRPr="00A707C6">
              <w:rPr>
                <w:rFonts w:asciiTheme="majorHAnsi" w:hAnsiTheme="majorHAnsi" w:cstheme="majorHAnsi"/>
                <w:sz w:val="20"/>
                <w:szCs w:val="20"/>
              </w:rPr>
              <w:t>2028</w:t>
            </w:r>
          </w:p>
        </w:tc>
        <w:tc>
          <w:tcPr>
            <w:tcW w:w="0" w:type="dxa"/>
            <w:tcBorders>
              <w:top w:val="single" w:sz="4" w:space="0" w:color="auto"/>
              <w:bottom w:val="single" w:sz="4" w:space="0" w:color="auto"/>
            </w:tcBorders>
          </w:tcPr>
          <w:p w14:paraId="45EAEF05" w14:textId="63A823EE" w:rsidR="009909F4" w:rsidRPr="009C2DDC" w:rsidRDefault="009909F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 xml:space="preserve">Ongoing </w:t>
            </w:r>
          </w:p>
        </w:tc>
      </w:tr>
      <w:tr w:rsidR="00524C4C" w:rsidRPr="00262275" w14:paraId="2E318B44" w14:textId="77777777" w:rsidTr="6643C3DA">
        <w:tc>
          <w:tcPr>
            <w:tcW w:w="568" w:type="dxa"/>
            <w:tcBorders>
              <w:top w:val="single" w:sz="4" w:space="0" w:color="auto"/>
              <w:bottom w:val="single" w:sz="4" w:space="0" w:color="auto"/>
            </w:tcBorders>
            <w:tcMar>
              <w:top w:w="85" w:type="dxa"/>
              <w:bottom w:w="85" w:type="dxa"/>
            </w:tcMar>
          </w:tcPr>
          <w:p w14:paraId="2EF006DE" w14:textId="000475FB" w:rsidR="00524C4C" w:rsidRPr="00045EEE" w:rsidDel="00CE74AD" w:rsidRDefault="00524C4C" w:rsidP="006978D8">
            <w:pPr>
              <w:spacing w:line="276" w:lineRule="auto"/>
              <w:cnfStyle w:val="001000000000" w:firstRow="0" w:lastRow="0" w:firstColumn="1"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15</w:t>
            </w:r>
          </w:p>
        </w:tc>
        <w:tc>
          <w:tcPr>
            <w:tcW w:w="1133" w:type="dxa"/>
            <w:tcBorders>
              <w:top w:val="single" w:sz="4" w:space="0" w:color="auto"/>
              <w:bottom w:val="single" w:sz="4" w:space="0" w:color="auto"/>
            </w:tcBorders>
            <w:tcMar>
              <w:top w:w="85" w:type="dxa"/>
              <w:bottom w:w="85" w:type="dxa"/>
            </w:tcMar>
          </w:tcPr>
          <w:p w14:paraId="49444272" w14:textId="5804BF49" w:rsidR="00524C4C" w:rsidRPr="00045EEE" w:rsidRDefault="00524C4C" w:rsidP="006978D8">
            <w:pPr>
              <w:spacing w:line="276" w:lineRule="auto"/>
              <w:rPr>
                <w:rFonts w:asciiTheme="majorHAnsi" w:hAnsiTheme="majorHAnsi" w:cstheme="majorHAnsi"/>
                <w:bCs/>
                <w:sz w:val="20"/>
                <w:szCs w:val="20"/>
              </w:rPr>
            </w:pPr>
            <w:r>
              <w:rPr>
                <w:rFonts w:asciiTheme="majorHAnsi" w:hAnsiTheme="majorHAnsi" w:cstheme="majorHAnsi"/>
                <w:bCs/>
                <w:sz w:val="20"/>
                <w:szCs w:val="20"/>
              </w:rPr>
              <w:t>76006</w:t>
            </w:r>
          </w:p>
        </w:tc>
        <w:tc>
          <w:tcPr>
            <w:tcW w:w="2125" w:type="dxa"/>
            <w:tcBorders>
              <w:top w:val="single" w:sz="4" w:space="0" w:color="auto"/>
              <w:bottom w:val="single" w:sz="4" w:space="0" w:color="auto"/>
            </w:tcBorders>
            <w:tcMar>
              <w:top w:w="85" w:type="dxa"/>
              <w:bottom w:w="85" w:type="dxa"/>
            </w:tcMar>
          </w:tcPr>
          <w:p w14:paraId="5AB5FA69" w14:textId="0102971A" w:rsidR="00524C4C" w:rsidRPr="00045EEE" w:rsidRDefault="00524C4C" w:rsidP="006978D8">
            <w:pPr>
              <w:spacing w:line="276" w:lineRule="auto"/>
              <w:rPr>
                <w:rFonts w:asciiTheme="majorHAnsi" w:hAnsiTheme="majorHAnsi" w:cstheme="majorHAnsi"/>
                <w:bCs/>
                <w:sz w:val="20"/>
                <w:szCs w:val="20"/>
              </w:rPr>
            </w:pPr>
            <w:r>
              <w:rPr>
                <w:rFonts w:asciiTheme="majorHAnsi" w:hAnsiTheme="majorHAnsi" w:cstheme="majorHAnsi"/>
                <w:bCs/>
                <w:sz w:val="20"/>
                <w:szCs w:val="20"/>
              </w:rPr>
              <w:t>UN Trust Fund to End Violence Against Women and Girls</w:t>
            </w:r>
          </w:p>
        </w:tc>
        <w:tc>
          <w:tcPr>
            <w:tcW w:w="3117" w:type="dxa"/>
            <w:tcBorders>
              <w:top w:val="single" w:sz="4" w:space="0" w:color="auto"/>
              <w:bottom w:val="single" w:sz="4" w:space="0" w:color="auto"/>
            </w:tcBorders>
            <w:tcMar>
              <w:top w:w="85" w:type="dxa"/>
              <w:bottom w:w="85" w:type="dxa"/>
            </w:tcMar>
          </w:tcPr>
          <w:p w14:paraId="2AA9642C" w14:textId="4737032A" w:rsidR="00524C4C" w:rsidRPr="00A707C6" w:rsidRDefault="00524C4C" w:rsidP="006978D8">
            <w:pPr>
              <w:spacing w:line="276" w:lineRule="auto"/>
              <w:rPr>
                <w:rFonts w:asciiTheme="majorHAnsi" w:hAnsiTheme="majorHAnsi" w:cstheme="majorHAnsi"/>
                <w:sz w:val="20"/>
                <w:szCs w:val="20"/>
              </w:rPr>
            </w:pPr>
            <w:r w:rsidRPr="00A707C6">
              <w:rPr>
                <w:rFonts w:asciiTheme="majorHAnsi" w:hAnsiTheme="majorHAnsi" w:cstheme="majorHAnsi"/>
                <w:sz w:val="20"/>
                <w:szCs w:val="20"/>
              </w:rPr>
              <w:t>This agreement supports three interconnected initiatives aimed at addressing and preventing violence against women and girls (VAWG). First, it contributes to the UN Joint Programme on Essential Services by providing technical guidance for the development and delivery of quality multi-sectoral services for survivors of violence. Second, it advances prevention efforts in the Indo-Pacific region by addressing root causes and risk factors of VAWG through prevention frameworks, research, and related initiatives (with no current activities in the Pacific). Third, it supports the UN Trust Fund to End Violence Against Women which provides grants to civil society and women’s rights organi</w:t>
            </w:r>
            <w:r w:rsidR="00C34CAD">
              <w:rPr>
                <w:rFonts w:asciiTheme="majorHAnsi" w:hAnsiTheme="majorHAnsi" w:cstheme="majorHAnsi"/>
                <w:sz w:val="20"/>
                <w:szCs w:val="20"/>
              </w:rPr>
              <w:t>s</w:t>
            </w:r>
            <w:r w:rsidRPr="00A707C6">
              <w:rPr>
                <w:rFonts w:asciiTheme="majorHAnsi" w:hAnsiTheme="majorHAnsi" w:cstheme="majorHAnsi"/>
                <w:sz w:val="20"/>
                <w:szCs w:val="20"/>
              </w:rPr>
              <w:t>ations to strengthen community-level responses to VAWG globally.</w:t>
            </w:r>
          </w:p>
          <w:p w14:paraId="125476AC" w14:textId="77777777" w:rsidR="00524C4C" w:rsidRPr="00045EEE" w:rsidRDefault="00524C4C" w:rsidP="006978D8">
            <w:pPr>
              <w:spacing w:line="276" w:lineRule="auto"/>
              <w:rPr>
                <w:rFonts w:asciiTheme="majorHAnsi" w:hAnsiTheme="majorHAnsi" w:cstheme="majorHAnsi"/>
                <w:bCs/>
                <w:sz w:val="20"/>
                <w:szCs w:val="20"/>
              </w:rPr>
            </w:pPr>
          </w:p>
        </w:tc>
        <w:tc>
          <w:tcPr>
            <w:tcW w:w="1700" w:type="dxa"/>
            <w:tcBorders>
              <w:top w:val="single" w:sz="4" w:space="0" w:color="auto"/>
              <w:bottom w:val="single" w:sz="4" w:space="0" w:color="auto"/>
            </w:tcBorders>
            <w:tcMar>
              <w:top w:w="85" w:type="dxa"/>
              <w:bottom w:w="85" w:type="dxa"/>
            </w:tcMar>
          </w:tcPr>
          <w:p w14:paraId="6CDF0A46" w14:textId="77777777" w:rsidR="00524C4C" w:rsidRPr="00A707C6" w:rsidRDefault="00524C4C" w:rsidP="006978D8">
            <w:pPr>
              <w:spacing w:line="276" w:lineRule="auto"/>
              <w:rPr>
                <w:rFonts w:asciiTheme="majorHAnsi" w:hAnsiTheme="majorHAnsi" w:cstheme="majorHAnsi"/>
                <w:sz w:val="20"/>
                <w:szCs w:val="20"/>
              </w:rPr>
            </w:pPr>
            <w:r w:rsidRPr="00A707C6">
              <w:rPr>
                <w:rFonts w:asciiTheme="majorHAnsi" w:hAnsiTheme="majorHAnsi" w:cstheme="majorHAnsi"/>
                <w:sz w:val="20"/>
                <w:szCs w:val="20"/>
              </w:rPr>
              <w:t>$22,500,000</w:t>
            </w:r>
          </w:p>
          <w:p w14:paraId="439A1178" w14:textId="77777777" w:rsidR="00524C4C" w:rsidRPr="00A707C6" w:rsidRDefault="00524C4C" w:rsidP="006978D8">
            <w:pPr>
              <w:spacing w:line="276" w:lineRule="auto"/>
              <w:rPr>
                <w:rFonts w:asciiTheme="majorHAnsi" w:hAnsiTheme="majorHAnsi" w:cstheme="majorHAnsi"/>
                <w:sz w:val="20"/>
                <w:szCs w:val="20"/>
              </w:rPr>
            </w:pPr>
          </w:p>
          <w:p w14:paraId="4D5966DF" w14:textId="089D141F" w:rsidR="00524C4C" w:rsidRDefault="00524C4C" w:rsidP="006978D8">
            <w:pPr>
              <w:spacing w:line="276" w:lineRule="auto"/>
              <w:rPr>
                <w:rFonts w:asciiTheme="majorHAnsi" w:hAnsiTheme="majorHAnsi" w:cstheme="majorHAnsi"/>
                <w:sz w:val="20"/>
                <w:szCs w:val="20"/>
              </w:rPr>
            </w:pPr>
            <w:r w:rsidRPr="00A707C6">
              <w:rPr>
                <w:rFonts w:asciiTheme="majorHAnsi" w:hAnsiTheme="majorHAnsi" w:cstheme="majorHAnsi"/>
                <w:sz w:val="20"/>
                <w:szCs w:val="20"/>
              </w:rPr>
              <w:t xml:space="preserve">2021 – 2025 </w:t>
            </w:r>
          </w:p>
        </w:tc>
        <w:tc>
          <w:tcPr>
            <w:tcW w:w="1388" w:type="dxa"/>
            <w:tcBorders>
              <w:top w:val="single" w:sz="4" w:space="0" w:color="auto"/>
              <w:bottom w:val="single" w:sz="4" w:space="0" w:color="auto"/>
            </w:tcBorders>
          </w:tcPr>
          <w:p w14:paraId="79CC504D" w14:textId="0D198F7B" w:rsidR="00524C4C" w:rsidRPr="004D1612" w:rsidRDefault="00524C4C" w:rsidP="006978D8">
            <w:pPr>
              <w:spacing w:line="276" w:lineRule="auto"/>
              <w:rPr>
                <w:rFonts w:asciiTheme="majorHAnsi" w:hAnsiTheme="majorHAnsi" w:cstheme="majorHAnsi"/>
                <w:bCs/>
                <w:sz w:val="20"/>
                <w:szCs w:val="20"/>
                <w:lang w:val="en-US"/>
              </w:rPr>
            </w:pPr>
            <w:r w:rsidRPr="009C2DDC">
              <w:rPr>
                <w:rFonts w:asciiTheme="majorHAnsi" w:hAnsiTheme="majorHAnsi" w:cstheme="majorHAnsi"/>
                <w:sz w:val="20"/>
                <w:szCs w:val="20"/>
              </w:rPr>
              <w:t>Ongoing</w:t>
            </w:r>
          </w:p>
        </w:tc>
      </w:tr>
    </w:tbl>
    <w:p w14:paraId="3DAC7629" w14:textId="77777777" w:rsidR="00732E61" w:rsidRDefault="00732E61" w:rsidP="006978D8">
      <w:pPr>
        <w:jc w:val="left"/>
        <w:rPr>
          <w:rFonts w:asciiTheme="majorHAnsi" w:hAnsiTheme="majorHAnsi" w:cstheme="majorHAnsi"/>
          <w:b/>
          <w:bCs/>
          <w:sz w:val="20"/>
          <w:szCs w:val="20"/>
        </w:rPr>
      </w:pPr>
    </w:p>
    <w:p w14:paraId="0700DA87" w14:textId="30875156" w:rsidR="00377125" w:rsidRPr="009C2DDC" w:rsidRDefault="00377125" w:rsidP="006978D8">
      <w:pPr>
        <w:jc w:val="left"/>
        <w:rPr>
          <w:rFonts w:asciiTheme="majorHAnsi" w:hAnsiTheme="majorHAnsi" w:cstheme="majorHAnsi"/>
          <w:b/>
          <w:bCs/>
          <w:sz w:val="20"/>
          <w:szCs w:val="20"/>
        </w:rPr>
      </w:pPr>
      <w:r w:rsidRPr="009C2DDC">
        <w:rPr>
          <w:rFonts w:asciiTheme="majorHAnsi" w:hAnsiTheme="majorHAnsi" w:cstheme="majorHAnsi"/>
          <w:b/>
          <w:bCs/>
          <w:sz w:val="20"/>
          <w:szCs w:val="20"/>
        </w:rPr>
        <w:t xml:space="preserve">Table </w:t>
      </w:r>
      <w:r>
        <w:rPr>
          <w:rFonts w:asciiTheme="majorHAnsi" w:hAnsiTheme="majorHAnsi" w:cstheme="majorHAnsi"/>
          <w:b/>
          <w:bCs/>
          <w:sz w:val="20"/>
          <w:szCs w:val="20"/>
        </w:rPr>
        <w:t>4</w:t>
      </w:r>
      <w:r w:rsidRPr="009C2DDC">
        <w:rPr>
          <w:rFonts w:asciiTheme="majorHAnsi" w:hAnsiTheme="majorHAnsi" w:cstheme="majorHAnsi"/>
          <w:b/>
          <w:bCs/>
          <w:sz w:val="20"/>
          <w:szCs w:val="20"/>
        </w:rPr>
        <w:t>:</w:t>
      </w:r>
      <w:r w:rsidR="006978D0" w:rsidRPr="006978D0">
        <w:rPr>
          <w:rFonts w:asciiTheme="majorHAnsi" w:hAnsiTheme="majorHAnsi" w:cstheme="majorHAnsi"/>
          <w:b/>
          <w:bCs/>
          <w:sz w:val="20"/>
          <w:szCs w:val="20"/>
        </w:rPr>
        <w:t xml:space="preserve"> </w:t>
      </w:r>
      <w:r w:rsidR="006978D0" w:rsidRPr="00A707C6">
        <w:rPr>
          <w:rFonts w:asciiTheme="majorHAnsi" w:hAnsiTheme="majorHAnsi" w:cstheme="majorHAnsi"/>
          <w:b/>
          <w:bCs/>
          <w:sz w:val="20"/>
          <w:szCs w:val="20"/>
        </w:rPr>
        <w:t xml:space="preserve">DFAT regional research </w:t>
      </w:r>
      <w:r w:rsidR="001060C4">
        <w:rPr>
          <w:rFonts w:asciiTheme="majorHAnsi" w:hAnsiTheme="majorHAnsi" w:cstheme="majorHAnsi"/>
          <w:b/>
          <w:bCs/>
          <w:sz w:val="20"/>
          <w:szCs w:val="20"/>
        </w:rPr>
        <w:t>grants</w:t>
      </w:r>
      <w:r w:rsidR="001060C4" w:rsidRPr="00A707C6">
        <w:rPr>
          <w:rFonts w:asciiTheme="majorHAnsi" w:hAnsiTheme="majorHAnsi" w:cstheme="majorHAnsi"/>
          <w:b/>
          <w:bCs/>
          <w:sz w:val="20"/>
          <w:szCs w:val="20"/>
        </w:rPr>
        <w:t xml:space="preserve"> </w:t>
      </w:r>
      <w:r w:rsidR="006978D0" w:rsidRPr="00A707C6">
        <w:rPr>
          <w:rFonts w:asciiTheme="majorHAnsi" w:hAnsiTheme="majorHAnsi" w:cstheme="majorHAnsi"/>
          <w:b/>
          <w:bCs/>
          <w:sz w:val="20"/>
          <w:szCs w:val="20"/>
        </w:rPr>
        <w:t>as of 31 August 2025</w:t>
      </w:r>
    </w:p>
    <w:tbl>
      <w:tblPr>
        <w:tblStyle w:val="PlainTable2"/>
        <w:tblW w:w="10032" w:type="dxa"/>
        <w:tblInd w:w="-28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3"/>
        <w:gridCol w:w="1134"/>
        <w:gridCol w:w="2126"/>
        <w:gridCol w:w="3119"/>
        <w:gridCol w:w="1559"/>
        <w:gridCol w:w="1521"/>
      </w:tblGrid>
      <w:tr w:rsidR="001060C4" w:rsidRPr="00846EE2" w14:paraId="51BD8B69" w14:textId="77777777" w:rsidTr="00011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dxa"/>
            <w:tcBorders>
              <w:bottom w:val="single" w:sz="4" w:space="0" w:color="auto"/>
            </w:tcBorders>
            <w:shd w:val="clear" w:color="auto" w:fill="006699"/>
            <w:tcMar>
              <w:top w:w="85" w:type="dxa"/>
              <w:bottom w:w="85" w:type="dxa"/>
            </w:tcMar>
            <w:vAlign w:val="center"/>
          </w:tcPr>
          <w:p w14:paraId="4A317D30" w14:textId="77777777" w:rsidR="00262275" w:rsidRPr="00846EE2" w:rsidRDefault="00262275" w:rsidP="006978D8">
            <w:pPr>
              <w:spacing w:line="276" w:lineRule="auto"/>
              <w:rPr>
                <w:rFonts w:ascii="Arial" w:hAnsi="Arial" w:cs="Arial"/>
                <w:b w:val="0"/>
                <w:bCs w:val="0"/>
                <w:color w:val="FFFFFF" w:themeColor="background1"/>
                <w:sz w:val="20"/>
                <w:szCs w:val="20"/>
              </w:rPr>
            </w:pPr>
            <w:r w:rsidRPr="00846EE2">
              <w:rPr>
                <w:rFonts w:ascii="Arial" w:hAnsi="Arial" w:cs="Arial"/>
                <w:color w:val="FFFFFF" w:themeColor="background1"/>
                <w:sz w:val="20"/>
                <w:szCs w:val="20"/>
              </w:rPr>
              <w:lastRenderedPageBreak/>
              <w:t>No.</w:t>
            </w:r>
          </w:p>
        </w:tc>
        <w:tc>
          <w:tcPr>
            <w:tcW w:w="1134" w:type="dxa"/>
            <w:tcBorders>
              <w:bottom w:val="single" w:sz="4" w:space="0" w:color="auto"/>
            </w:tcBorders>
            <w:shd w:val="clear" w:color="auto" w:fill="006699"/>
            <w:tcMar>
              <w:top w:w="85" w:type="dxa"/>
              <w:bottom w:w="85" w:type="dxa"/>
            </w:tcMar>
            <w:vAlign w:val="center"/>
          </w:tcPr>
          <w:p w14:paraId="679C6656" w14:textId="77777777" w:rsidR="00262275" w:rsidRPr="00846EE2" w:rsidRDefault="00262275" w:rsidP="006978D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roofErr w:type="spellStart"/>
            <w:r w:rsidRPr="00846EE2">
              <w:rPr>
                <w:rFonts w:ascii="Arial" w:hAnsi="Arial" w:cs="Arial"/>
                <w:color w:val="FFFFFF" w:themeColor="background1"/>
                <w:sz w:val="20"/>
                <w:szCs w:val="20"/>
              </w:rPr>
              <w:t>Aidworks</w:t>
            </w:r>
            <w:proofErr w:type="spellEnd"/>
            <w:r w:rsidRPr="00846EE2">
              <w:rPr>
                <w:rFonts w:ascii="Arial" w:hAnsi="Arial" w:cs="Arial"/>
                <w:color w:val="FFFFFF" w:themeColor="background1"/>
                <w:sz w:val="20"/>
                <w:szCs w:val="20"/>
              </w:rPr>
              <w:t xml:space="preserve"> number</w:t>
            </w:r>
          </w:p>
        </w:tc>
        <w:tc>
          <w:tcPr>
            <w:tcW w:w="2126" w:type="dxa"/>
            <w:tcBorders>
              <w:bottom w:val="single" w:sz="4" w:space="0" w:color="auto"/>
            </w:tcBorders>
            <w:shd w:val="clear" w:color="auto" w:fill="006699"/>
            <w:tcMar>
              <w:top w:w="85" w:type="dxa"/>
              <w:bottom w:w="85" w:type="dxa"/>
            </w:tcMar>
            <w:vAlign w:val="center"/>
          </w:tcPr>
          <w:p w14:paraId="760EF184" w14:textId="77777777" w:rsidR="00262275" w:rsidRPr="00846EE2" w:rsidRDefault="00262275" w:rsidP="006978D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846EE2">
              <w:rPr>
                <w:rFonts w:ascii="Arial" w:hAnsi="Arial" w:cs="Arial"/>
                <w:color w:val="FFFFFF" w:themeColor="background1"/>
                <w:sz w:val="20"/>
                <w:szCs w:val="20"/>
              </w:rPr>
              <w:t>Project name and partner</w:t>
            </w:r>
          </w:p>
        </w:tc>
        <w:tc>
          <w:tcPr>
            <w:tcW w:w="3119" w:type="dxa"/>
            <w:tcBorders>
              <w:bottom w:val="single" w:sz="4" w:space="0" w:color="auto"/>
            </w:tcBorders>
            <w:shd w:val="clear" w:color="auto" w:fill="006699"/>
            <w:tcMar>
              <w:top w:w="85" w:type="dxa"/>
              <w:bottom w:w="85" w:type="dxa"/>
            </w:tcMar>
            <w:vAlign w:val="center"/>
          </w:tcPr>
          <w:p w14:paraId="365453F5" w14:textId="77777777" w:rsidR="00262275" w:rsidRPr="00846EE2" w:rsidRDefault="00262275" w:rsidP="006978D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846EE2">
              <w:rPr>
                <w:rFonts w:ascii="Arial" w:hAnsi="Arial" w:cs="Arial"/>
                <w:color w:val="FFFFFF" w:themeColor="background1"/>
                <w:sz w:val="20"/>
                <w:szCs w:val="20"/>
              </w:rPr>
              <w:t>Project description</w:t>
            </w:r>
          </w:p>
        </w:tc>
        <w:tc>
          <w:tcPr>
            <w:tcW w:w="1559" w:type="dxa"/>
            <w:tcBorders>
              <w:bottom w:val="single" w:sz="4" w:space="0" w:color="auto"/>
            </w:tcBorders>
            <w:shd w:val="clear" w:color="auto" w:fill="006699"/>
            <w:tcMar>
              <w:top w:w="85" w:type="dxa"/>
              <w:bottom w:w="85" w:type="dxa"/>
            </w:tcMar>
            <w:vAlign w:val="center"/>
          </w:tcPr>
          <w:p w14:paraId="5C25B359" w14:textId="77777777" w:rsidR="00262275" w:rsidRPr="00846EE2" w:rsidRDefault="00262275" w:rsidP="006978D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846EE2">
              <w:rPr>
                <w:rFonts w:ascii="Arial" w:hAnsi="Arial" w:cs="Arial"/>
                <w:color w:val="FFFFFF" w:themeColor="background1"/>
                <w:sz w:val="20"/>
                <w:szCs w:val="20"/>
              </w:rPr>
              <w:t>Value (AUD) / timeframe</w:t>
            </w:r>
          </w:p>
        </w:tc>
        <w:tc>
          <w:tcPr>
            <w:tcW w:w="1521" w:type="dxa"/>
            <w:tcBorders>
              <w:bottom w:val="single" w:sz="4" w:space="0" w:color="auto"/>
            </w:tcBorders>
            <w:shd w:val="clear" w:color="auto" w:fill="006699"/>
          </w:tcPr>
          <w:p w14:paraId="2D5E32E7" w14:textId="77777777" w:rsidR="00262275" w:rsidRPr="00846EE2" w:rsidRDefault="00262275" w:rsidP="006978D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846EE2">
              <w:rPr>
                <w:rFonts w:ascii="Arial" w:hAnsi="Arial" w:cs="Arial"/>
                <w:color w:val="FFFFFF" w:themeColor="background1"/>
                <w:sz w:val="20"/>
                <w:szCs w:val="20"/>
              </w:rPr>
              <w:t>Project status</w:t>
            </w:r>
          </w:p>
        </w:tc>
      </w:tr>
      <w:tr w:rsidR="001060C4" w:rsidRPr="00846EE2" w14:paraId="014851E5" w14:textId="77777777" w:rsidTr="00011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dxa"/>
            <w:tcBorders>
              <w:top w:val="single" w:sz="4" w:space="0" w:color="auto"/>
              <w:bottom w:val="nil"/>
            </w:tcBorders>
            <w:tcMar>
              <w:top w:w="85" w:type="dxa"/>
              <w:bottom w:w="85" w:type="dxa"/>
            </w:tcMar>
          </w:tcPr>
          <w:p w14:paraId="0BC3E95B" w14:textId="4A8DDFF1" w:rsidR="0024139D" w:rsidRPr="00846EE2" w:rsidRDefault="0024139D" w:rsidP="006978D8">
            <w:pPr>
              <w:spacing w:line="276" w:lineRule="auto"/>
              <w:rPr>
                <w:rFonts w:ascii="Arial" w:hAnsi="Arial" w:cs="Arial"/>
                <w:color w:val="FFFFFF" w:themeColor="background1"/>
                <w:sz w:val="20"/>
                <w:szCs w:val="20"/>
              </w:rPr>
            </w:pPr>
            <w:r>
              <w:rPr>
                <w:rFonts w:asciiTheme="majorHAnsi" w:hAnsiTheme="majorHAnsi" w:cstheme="majorHAnsi"/>
                <w:sz w:val="20"/>
                <w:szCs w:val="20"/>
              </w:rPr>
              <w:t>1</w:t>
            </w:r>
          </w:p>
        </w:tc>
        <w:tc>
          <w:tcPr>
            <w:tcW w:w="1134" w:type="dxa"/>
            <w:tcBorders>
              <w:top w:val="single" w:sz="4" w:space="0" w:color="auto"/>
              <w:bottom w:val="nil"/>
            </w:tcBorders>
            <w:tcMar>
              <w:top w:w="85" w:type="dxa"/>
              <w:bottom w:w="85" w:type="dxa"/>
            </w:tcMar>
          </w:tcPr>
          <w:p w14:paraId="75DBF77C" w14:textId="3FD4EB8E" w:rsidR="0024139D" w:rsidRPr="00846EE2" w:rsidRDefault="0024139D"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sidRPr="007465EF">
              <w:rPr>
                <w:rFonts w:asciiTheme="majorHAnsi" w:hAnsiTheme="majorHAnsi" w:cstheme="majorHAnsi"/>
                <w:sz w:val="20"/>
                <w:szCs w:val="20"/>
              </w:rPr>
              <w:t>76473</w:t>
            </w:r>
          </w:p>
        </w:tc>
        <w:tc>
          <w:tcPr>
            <w:tcW w:w="2126" w:type="dxa"/>
            <w:tcBorders>
              <w:top w:val="single" w:sz="4" w:space="0" w:color="auto"/>
              <w:bottom w:val="nil"/>
            </w:tcBorders>
            <w:tcMar>
              <w:top w:w="85" w:type="dxa"/>
              <w:bottom w:w="85" w:type="dxa"/>
            </w:tcMar>
          </w:tcPr>
          <w:p w14:paraId="665D799B" w14:textId="77777777" w:rsidR="0024139D" w:rsidRPr="007465EF" w:rsidRDefault="0024139D"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7465EF">
              <w:rPr>
                <w:rFonts w:asciiTheme="majorHAnsi" w:hAnsiTheme="majorHAnsi" w:cstheme="majorHAnsi"/>
                <w:sz w:val="20"/>
                <w:szCs w:val="20"/>
                <w:lang w:val="en-US"/>
              </w:rPr>
              <w:t xml:space="preserve">Building Back Better: Promoting gender data-driven response to the COVID-19 pandemic in the Pacific and South-east Asia. </w:t>
            </w:r>
          </w:p>
          <w:p w14:paraId="2B0F130A" w14:textId="77777777" w:rsidR="0024139D" w:rsidRPr="007465EF" w:rsidRDefault="0024139D"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12B24F6E" w14:textId="7C5A3767" w:rsidR="0024139D" w:rsidRPr="00846EE2" w:rsidRDefault="0024139D"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sidRPr="007465EF">
              <w:rPr>
                <w:rFonts w:asciiTheme="majorHAnsi" w:hAnsiTheme="majorHAnsi" w:cstheme="majorHAnsi"/>
                <w:sz w:val="20"/>
                <w:szCs w:val="20"/>
                <w:lang w:val="en-US"/>
              </w:rPr>
              <w:t>(UN Women)</w:t>
            </w:r>
          </w:p>
        </w:tc>
        <w:tc>
          <w:tcPr>
            <w:tcW w:w="3119" w:type="dxa"/>
            <w:tcBorders>
              <w:top w:val="single" w:sz="4" w:space="0" w:color="auto"/>
              <w:bottom w:val="nil"/>
            </w:tcBorders>
            <w:tcMar>
              <w:top w:w="85" w:type="dxa"/>
              <w:bottom w:w="85" w:type="dxa"/>
            </w:tcMar>
          </w:tcPr>
          <w:p w14:paraId="5D9DDA58" w14:textId="2C0C6347" w:rsidR="0024139D" w:rsidRPr="00846EE2" w:rsidRDefault="0024139D"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sidRPr="007465EF">
              <w:rPr>
                <w:rFonts w:asciiTheme="majorHAnsi" w:hAnsiTheme="majorHAnsi" w:cstheme="majorHAnsi"/>
                <w:sz w:val="20"/>
                <w:szCs w:val="20"/>
              </w:rPr>
              <w:t>This project aims to enhance the production and use of quality, timely data to ensure COVID-19 response and recovery efforts address gender inequalities. By integrating gender-sensitive data, the project supports strategies that maximise protection from COVID-19 impacts while empowering women and girls to contribute fully to recovery efforts.</w:t>
            </w:r>
          </w:p>
        </w:tc>
        <w:tc>
          <w:tcPr>
            <w:tcW w:w="1559" w:type="dxa"/>
            <w:tcBorders>
              <w:top w:val="single" w:sz="4" w:space="0" w:color="auto"/>
              <w:bottom w:val="nil"/>
            </w:tcBorders>
            <w:tcMar>
              <w:top w:w="85" w:type="dxa"/>
              <w:bottom w:w="85" w:type="dxa"/>
            </w:tcMar>
          </w:tcPr>
          <w:p w14:paraId="7249742E" w14:textId="77777777" w:rsidR="0024139D" w:rsidRPr="007465EF" w:rsidRDefault="0024139D"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65EF">
              <w:rPr>
                <w:rFonts w:asciiTheme="majorHAnsi" w:hAnsiTheme="majorHAnsi" w:cstheme="majorHAnsi"/>
                <w:sz w:val="20"/>
                <w:szCs w:val="20"/>
              </w:rPr>
              <w:t>$3,522,558</w:t>
            </w:r>
          </w:p>
          <w:p w14:paraId="06FAFD4E" w14:textId="77777777" w:rsidR="0024139D" w:rsidRPr="007465EF" w:rsidRDefault="0024139D"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5D43EB9" w14:textId="77777777" w:rsidR="0024139D" w:rsidRPr="007465EF" w:rsidRDefault="0024139D"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65EF">
              <w:rPr>
                <w:rFonts w:asciiTheme="majorHAnsi" w:hAnsiTheme="majorHAnsi" w:cstheme="majorHAnsi"/>
                <w:sz w:val="20"/>
                <w:szCs w:val="20"/>
              </w:rPr>
              <w:t>2021</w:t>
            </w:r>
            <w:r>
              <w:rPr>
                <w:rFonts w:asciiTheme="majorHAnsi" w:hAnsiTheme="majorHAnsi" w:cstheme="majorHAnsi"/>
                <w:sz w:val="20"/>
                <w:szCs w:val="20"/>
              </w:rPr>
              <w:t xml:space="preserve"> </w:t>
            </w:r>
            <w:r w:rsidRPr="007465EF">
              <w:rPr>
                <w:rFonts w:asciiTheme="majorHAnsi" w:hAnsiTheme="majorHAnsi" w:cstheme="majorHAnsi"/>
                <w:sz w:val="20"/>
                <w:szCs w:val="20"/>
              </w:rPr>
              <w:t>–</w:t>
            </w:r>
            <w:r>
              <w:rPr>
                <w:rFonts w:asciiTheme="majorHAnsi" w:hAnsiTheme="majorHAnsi" w:cstheme="majorHAnsi"/>
                <w:sz w:val="20"/>
                <w:szCs w:val="20"/>
              </w:rPr>
              <w:t xml:space="preserve"> </w:t>
            </w:r>
            <w:r w:rsidRPr="007465EF">
              <w:rPr>
                <w:rFonts w:asciiTheme="majorHAnsi" w:hAnsiTheme="majorHAnsi" w:cstheme="majorHAnsi"/>
                <w:sz w:val="20"/>
                <w:szCs w:val="20"/>
              </w:rPr>
              <w:t>2023</w:t>
            </w:r>
          </w:p>
          <w:p w14:paraId="0BCE4254" w14:textId="77777777" w:rsidR="0024139D" w:rsidRPr="00846EE2" w:rsidRDefault="0024139D"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p>
        </w:tc>
        <w:tc>
          <w:tcPr>
            <w:tcW w:w="1521" w:type="dxa"/>
            <w:tcBorders>
              <w:top w:val="single" w:sz="4" w:space="0" w:color="auto"/>
              <w:bottom w:val="nil"/>
            </w:tcBorders>
          </w:tcPr>
          <w:p w14:paraId="02D35AA0" w14:textId="1A77318D" w:rsidR="0024139D" w:rsidRPr="00846EE2" w:rsidRDefault="0024139D" w:rsidP="006978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sidRPr="007465EF">
              <w:rPr>
                <w:rFonts w:asciiTheme="majorHAnsi" w:hAnsiTheme="majorHAnsi" w:cstheme="majorHAnsi"/>
                <w:bCs/>
                <w:sz w:val="20"/>
                <w:szCs w:val="20"/>
              </w:rPr>
              <w:t>Completed</w:t>
            </w:r>
          </w:p>
        </w:tc>
      </w:tr>
      <w:tr w:rsidR="001060C4" w:rsidRPr="00846EE2" w14:paraId="1CD57FBF" w14:textId="77777777" w:rsidTr="00011D21">
        <w:tc>
          <w:tcPr>
            <w:cnfStyle w:val="001000000000" w:firstRow="0" w:lastRow="0" w:firstColumn="1" w:lastColumn="0" w:oddVBand="0" w:evenVBand="0" w:oddHBand="0" w:evenHBand="0" w:firstRowFirstColumn="0" w:firstRowLastColumn="0" w:lastRowFirstColumn="0" w:lastRowLastColumn="0"/>
            <w:tcW w:w="573" w:type="dxa"/>
            <w:tcBorders>
              <w:top w:val="nil"/>
              <w:bottom w:val="nil"/>
            </w:tcBorders>
            <w:tcMar>
              <w:top w:w="85" w:type="dxa"/>
              <w:bottom w:w="85" w:type="dxa"/>
            </w:tcMar>
          </w:tcPr>
          <w:p w14:paraId="416AE717" w14:textId="52839805" w:rsidR="0024139D" w:rsidRDefault="0024139D" w:rsidP="006978D8">
            <w:pPr>
              <w:spacing w:line="276" w:lineRule="auto"/>
              <w:rPr>
                <w:rFonts w:asciiTheme="majorHAnsi" w:hAnsiTheme="majorHAnsi" w:cstheme="majorHAnsi"/>
                <w:sz w:val="20"/>
                <w:szCs w:val="20"/>
              </w:rPr>
            </w:pPr>
            <w:r>
              <w:rPr>
                <w:rFonts w:asciiTheme="majorHAnsi" w:hAnsiTheme="majorHAnsi" w:cstheme="majorHAnsi"/>
                <w:sz w:val="20"/>
                <w:szCs w:val="20"/>
              </w:rPr>
              <w:t>2</w:t>
            </w:r>
          </w:p>
        </w:tc>
        <w:tc>
          <w:tcPr>
            <w:tcW w:w="1134" w:type="dxa"/>
            <w:tcBorders>
              <w:top w:val="nil"/>
              <w:bottom w:val="nil"/>
            </w:tcBorders>
            <w:tcMar>
              <w:top w:w="85" w:type="dxa"/>
              <w:bottom w:w="85" w:type="dxa"/>
            </w:tcMar>
          </w:tcPr>
          <w:p w14:paraId="3D303B77" w14:textId="1D6BD016" w:rsidR="0024139D" w:rsidRPr="007465EF" w:rsidRDefault="0024139D"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65EF">
              <w:rPr>
                <w:rFonts w:asciiTheme="majorHAnsi" w:hAnsiTheme="majorHAnsi" w:cstheme="majorHAnsi"/>
                <w:sz w:val="20"/>
                <w:szCs w:val="20"/>
                <w:lang w:val="en-US"/>
              </w:rPr>
              <w:t>76470</w:t>
            </w:r>
          </w:p>
        </w:tc>
        <w:tc>
          <w:tcPr>
            <w:tcW w:w="2126" w:type="dxa"/>
            <w:tcBorders>
              <w:top w:val="nil"/>
              <w:bottom w:val="nil"/>
            </w:tcBorders>
            <w:tcMar>
              <w:top w:w="85" w:type="dxa"/>
              <w:bottom w:w="85" w:type="dxa"/>
            </w:tcMar>
          </w:tcPr>
          <w:p w14:paraId="4C1A8E6B" w14:textId="77777777" w:rsidR="0024139D" w:rsidRPr="007465EF" w:rsidRDefault="0024139D"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7465EF">
              <w:rPr>
                <w:rFonts w:asciiTheme="majorHAnsi" w:hAnsiTheme="majorHAnsi" w:cstheme="majorHAnsi"/>
                <w:sz w:val="20"/>
                <w:szCs w:val="20"/>
                <w:lang w:val="en-US"/>
              </w:rPr>
              <w:t xml:space="preserve">Equality Insights: Gender data supporting COVID-19 response and recovery in the Pacific </w:t>
            </w:r>
          </w:p>
          <w:p w14:paraId="31D68214" w14:textId="77777777" w:rsidR="0024139D" w:rsidRPr="007465EF" w:rsidRDefault="0024139D"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7E662376" w14:textId="0D48FFA0" w:rsidR="0024139D" w:rsidRPr="007465EF" w:rsidRDefault="0024139D"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7465EF">
              <w:rPr>
                <w:rFonts w:asciiTheme="majorHAnsi" w:hAnsiTheme="majorHAnsi" w:cstheme="majorHAnsi"/>
                <w:sz w:val="20"/>
                <w:szCs w:val="20"/>
                <w:lang w:val="en-US"/>
              </w:rPr>
              <w:t>(International Women’s Development Agency (IWDA))</w:t>
            </w:r>
          </w:p>
        </w:tc>
        <w:tc>
          <w:tcPr>
            <w:tcW w:w="3119" w:type="dxa"/>
            <w:tcBorders>
              <w:top w:val="nil"/>
              <w:bottom w:val="nil"/>
            </w:tcBorders>
            <w:tcMar>
              <w:top w:w="85" w:type="dxa"/>
              <w:bottom w:w="85" w:type="dxa"/>
            </w:tcMar>
          </w:tcPr>
          <w:p w14:paraId="2F6B60E7" w14:textId="4483661B" w:rsidR="0024139D" w:rsidRPr="007465EF" w:rsidRDefault="0024139D"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65EF">
              <w:rPr>
                <w:rFonts w:asciiTheme="majorHAnsi" w:hAnsiTheme="majorHAnsi" w:cstheme="majorHAnsi"/>
                <w:sz w:val="20"/>
                <w:szCs w:val="20"/>
              </w:rPr>
              <w:t>Equality Insights is a gender data program that gathers inclusive data to advance gender equality. Using a gender-sensitive measurement tool, the program collects detailed information on poverty and inequality, shedding light on the experiences of individuals often overlooked in traditional poverty data. These intersectional insights inform policy solutions to address inequality.</w:t>
            </w:r>
          </w:p>
        </w:tc>
        <w:tc>
          <w:tcPr>
            <w:tcW w:w="1559" w:type="dxa"/>
            <w:tcBorders>
              <w:top w:val="nil"/>
              <w:bottom w:val="nil"/>
            </w:tcBorders>
            <w:tcMar>
              <w:top w:w="85" w:type="dxa"/>
              <w:bottom w:w="85" w:type="dxa"/>
            </w:tcMar>
          </w:tcPr>
          <w:p w14:paraId="7FF0F07F" w14:textId="77777777" w:rsidR="0024139D" w:rsidRPr="007465EF" w:rsidRDefault="0024139D"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65EF">
              <w:rPr>
                <w:rFonts w:asciiTheme="majorHAnsi" w:hAnsiTheme="majorHAnsi" w:cstheme="majorHAnsi"/>
                <w:sz w:val="20"/>
                <w:szCs w:val="20"/>
              </w:rPr>
              <w:t>$2,516,863</w:t>
            </w:r>
          </w:p>
          <w:p w14:paraId="59473E68" w14:textId="77777777" w:rsidR="0024139D" w:rsidRPr="007465EF" w:rsidRDefault="0024139D"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D3208CE" w14:textId="77777777" w:rsidR="0024139D" w:rsidRPr="007465EF" w:rsidRDefault="0024139D"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7465EF">
              <w:rPr>
                <w:rFonts w:asciiTheme="majorHAnsi" w:hAnsiTheme="majorHAnsi" w:cstheme="majorHAnsi"/>
                <w:sz w:val="20"/>
                <w:szCs w:val="20"/>
              </w:rPr>
              <w:t>2020</w:t>
            </w:r>
            <w:r>
              <w:rPr>
                <w:rFonts w:asciiTheme="majorHAnsi" w:hAnsiTheme="majorHAnsi" w:cstheme="majorHAnsi"/>
                <w:sz w:val="20"/>
                <w:szCs w:val="20"/>
              </w:rPr>
              <w:t xml:space="preserve"> </w:t>
            </w:r>
            <w:r w:rsidRPr="007465EF">
              <w:rPr>
                <w:rFonts w:asciiTheme="majorHAnsi" w:hAnsiTheme="majorHAnsi" w:cstheme="majorHAnsi"/>
                <w:sz w:val="20"/>
                <w:szCs w:val="20"/>
              </w:rPr>
              <w:t>–</w:t>
            </w:r>
            <w:r>
              <w:rPr>
                <w:rFonts w:asciiTheme="majorHAnsi" w:hAnsiTheme="majorHAnsi" w:cstheme="majorHAnsi"/>
                <w:sz w:val="20"/>
                <w:szCs w:val="20"/>
              </w:rPr>
              <w:t xml:space="preserve"> </w:t>
            </w:r>
            <w:r w:rsidRPr="007465EF">
              <w:rPr>
                <w:rFonts w:asciiTheme="majorHAnsi" w:hAnsiTheme="majorHAnsi" w:cstheme="majorHAnsi"/>
                <w:sz w:val="20"/>
                <w:szCs w:val="20"/>
              </w:rPr>
              <w:t>2022</w:t>
            </w:r>
          </w:p>
          <w:p w14:paraId="45713B49" w14:textId="77777777" w:rsidR="0024139D" w:rsidRPr="007465EF" w:rsidRDefault="0024139D"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521" w:type="dxa"/>
            <w:tcBorders>
              <w:top w:val="nil"/>
              <w:bottom w:val="nil"/>
            </w:tcBorders>
          </w:tcPr>
          <w:p w14:paraId="23FC304B" w14:textId="23888554" w:rsidR="0024139D" w:rsidRPr="007465EF" w:rsidRDefault="0024139D"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7465EF">
              <w:rPr>
                <w:rFonts w:asciiTheme="majorHAnsi" w:hAnsiTheme="majorHAnsi" w:cstheme="majorHAnsi"/>
                <w:bCs/>
                <w:sz w:val="20"/>
                <w:szCs w:val="20"/>
              </w:rPr>
              <w:t>Completed</w:t>
            </w:r>
          </w:p>
        </w:tc>
      </w:tr>
      <w:tr w:rsidR="001060C4" w:rsidRPr="00846EE2" w14:paraId="1E0EB631" w14:textId="77777777" w:rsidTr="00011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dxa"/>
            <w:tcBorders>
              <w:top w:val="nil"/>
              <w:bottom w:val="single" w:sz="4" w:space="0" w:color="auto"/>
            </w:tcBorders>
            <w:tcMar>
              <w:top w:w="85" w:type="dxa"/>
              <w:bottom w:w="85" w:type="dxa"/>
            </w:tcMar>
          </w:tcPr>
          <w:p w14:paraId="736E2EA8" w14:textId="77777777" w:rsidR="002F1944" w:rsidRDefault="002F1944" w:rsidP="006978D8">
            <w:pPr>
              <w:spacing w:line="276" w:lineRule="auto"/>
              <w:rPr>
                <w:rFonts w:asciiTheme="majorHAnsi" w:hAnsiTheme="majorHAnsi" w:cstheme="majorHAnsi"/>
                <w:sz w:val="20"/>
                <w:szCs w:val="20"/>
              </w:rPr>
            </w:pPr>
            <w:r>
              <w:rPr>
                <w:rFonts w:asciiTheme="majorHAnsi" w:hAnsiTheme="majorHAnsi" w:cstheme="majorHAnsi"/>
                <w:sz w:val="20"/>
                <w:szCs w:val="20"/>
              </w:rPr>
              <w:t>3</w:t>
            </w:r>
          </w:p>
        </w:tc>
        <w:tc>
          <w:tcPr>
            <w:tcW w:w="1134" w:type="dxa"/>
            <w:tcBorders>
              <w:top w:val="nil"/>
              <w:bottom w:val="single" w:sz="4" w:space="0" w:color="auto"/>
            </w:tcBorders>
            <w:tcMar>
              <w:top w:w="85" w:type="dxa"/>
              <w:bottom w:w="85" w:type="dxa"/>
            </w:tcMar>
          </w:tcPr>
          <w:p w14:paraId="6500C8B5" w14:textId="623F7DB4" w:rsidR="002F1944" w:rsidRPr="007465EF" w:rsidRDefault="002F194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7465EF">
              <w:rPr>
                <w:rFonts w:asciiTheme="majorHAnsi" w:hAnsiTheme="majorHAnsi" w:cstheme="majorHAnsi"/>
                <w:sz w:val="20"/>
                <w:szCs w:val="20"/>
              </w:rPr>
              <w:t>72938/47</w:t>
            </w:r>
          </w:p>
        </w:tc>
        <w:tc>
          <w:tcPr>
            <w:tcW w:w="2126" w:type="dxa"/>
            <w:tcBorders>
              <w:top w:val="nil"/>
              <w:bottom w:val="single" w:sz="4" w:space="0" w:color="auto"/>
            </w:tcBorders>
            <w:tcMar>
              <w:top w:w="85" w:type="dxa"/>
              <w:bottom w:w="85" w:type="dxa"/>
            </w:tcMar>
          </w:tcPr>
          <w:p w14:paraId="38C63FFA" w14:textId="77777777" w:rsidR="002F1944" w:rsidRPr="007465EF" w:rsidRDefault="002F194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65EF">
              <w:rPr>
                <w:rFonts w:asciiTheme="majorHAnsi" w:hAnsiTheme="majorHAnsi" w:cstheme="majorHAnsi"/>
                <w:sz w:val="20"/>
                <w:szCs w:val="20"/>
              </w:rPr>
              <w:t>Strengthening Capacities for Measuring Violence Against Women (</w:t>
            </w:r>
            <w:proofErr w:type="spellStart"/>
            <w:r w:rsidRPr="007465EF">
              <w:rPr>
                <w:rFonts w:asciiTheme="majorHAnsi" w:hAnsiTheme="majorHAnsi" w:cstheme="majorHAnsi"/>
                <w:sz w:val="20"/>
                <w:szCs w:val="20"/>
              </w:rPr>
              <w:t>kNOwVAWdata</w:t>
            </w:r>
            <w:proofErr w:type="spellEnd"/>
            <w:r w:rsidRPr="007465EF">
              <w:rPr>
                <w:rFonts w:asciiTheme="majorHAnsi" w:hAnsiTheme="majorHAnsi" w:cstheme="majorHAnsi"/>
                <w:sz w:val="20"/>
                <w:szCs w:val="20"/>
              </w:rPr>
              <w:t>) Phase 2</w:t>
            </w:r>
          </w:p>
          <w:p w14:paraId="28912EA4" w14:textId="77777777" w:rsidR="002F1944" w:rsidRPr="007465EF" w:rsidRDefault="002F194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A20B453" w14:textId="64B714BB" w:rsidR="002F1944" w:rsidRPr="007465EF" w:rsidRDefault="002F194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7465EF">
              <w:rPr>
                <w:rFonts w:asciiTheme="majorHAnsi" w:hAnsiTheme="majorHAnsi" w:cstheme="majorHAnsi"/>
                <w:sz w:val="20"/>
                <w:szCs w:val="20"/>
              </w:rPr>
              <w:t>(UNFPA)</w:t>
            </w:r>
          </w:p>
        </w:tc>
        <w:tc>
          <w:tcPr>
            <w:tcW w:w="3119" w:type="dxa"/>
            <w:tcBorders>
              <w:top w:val="nil"/>
              <w:bottom w:val="single" w:sz="4" w:space="0" w:color="auto"/>
            </w:tcBorders>
            <w:tcMar>
              <w:top w:w="85" w:type="dxa"/>
              <w:bottom w:w="85" w:type="dxa"/>
            </w:tcMar>
          </w:tcPr>
          <w:p w14:paraId="03B2B590" w14:textId="5EA32AE4" w:rsidR="002F1944" w:rsidRPr="007465EF" w:rsidRDefault="002F194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65EF">
              <w:rPr>
                <w:rFonts w:asciiTheme="majorHAnsi" w:hAnsiTheme="majorHAnsi" w:cstheme="majorHAnsi"/>
                <w:sz w:val="20"/>
                <w:szCs w:val="20"/>
              </w:rPr>
              <w:t>This project aims to support and strengthen regional and national capacity to measure violence against women in Asia and the Pacific. The project aims to develop sustained regional capacity through the development and implementation of a sound training curriculum and to build a committed pool of trained professionals and researchers on the measurement of violence against women in Asia and the Pacific region.</w:t>
            </w:r>
          </w:p>
        </w:tc>
        <w:tc>
          <w:tcPr>
            <w:tcW w:w="1559" w:type="dxa"/>
            <w:tcBorders>
              <w:top w:val="nil"/>
              <w:bottom w:val="single" w:sz="4" w:space="0" w:color="auto"/>
            </w:tcBorders>
            <w:tcMar>
              <w:top w:w="85" w:type="dxa"/>
              <w:bottom w:w="85" w:type="dxa"/>
            </w:tcMar>
          </w:tcPr>
          <w:p w14:paraId="34B14851" w14:textId="77777777" w:rsidR="002F1944" w:rsidRPr="007465EF" w:rsidRDefault="002F194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65EF">
              <w:rPr>
                <w:rFonts w:asciiTheme="majorHAnsi" w:hAnsiTheme="majorHAnsi" w:cstheme="majorHAnsi"/>
                <w:sz w:val="20"/>
                <w:szCs w:val="20"/>
              </w:rPr>
              <w:t>$3,000,000</w:t>
            </w:r>
          </w:p>
          <w:p w14:paraId="10301CF3" w14:textId="77777777" w:rsidR="002F1944" w:rsidRPr="007465EF" w:rsidRDefault="002F194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9EC0DE1" w14:textId="20D361BB" w:rsidR="002F1944" w:rsidRPr="007465EF" w:rsidRDefault="002F194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65EF">
              <w:rPr>
                <w:rFonts w:asciiTheme="majorHAnsi" w:hAnsiTheme="majorHAnsi" w:cstheme="majorHAnsi"/>
                <w:sz w:val="20"/>
                <w:szCs w:val="20"/>
              </w:rPr>
              <w:t>2021</w:t>
            </w:r>
            <w:r>
              <w:rPr>
                <w:rFonts w:asciiTheme="majorHAnsi" w:hAnsiTheme="majorHAnsi" w:cstheme="majorHAnsi"/>
                <w:sz w:val="20"/>
                <w:szCs w:val="20"/>
              </w:rPr>
              <w:t xml:space="preserve"> </w:t>
            </w:r>
            <w:r w:rsidRPr="007465EF">
              <w:rPr>
                <w:rFonts w:asciiTheme="majorHAnsi" w:hAnsiTheme="majorHAnsi" w:cstheme="majorHAnsi"/>
                <w:sz w:val="20"/>
                <w:szCs w:val="20"/>
              </w:rPr>
              <w:t>–</w:t>
            </w:r>
            <w:r>
              <w:rPr>
                <w:rFonts w:asciiTheme="majorHAnsi" w:hAnsiTheme="majorHAnsi" w:cstheme="majorHAnsi"/>
                <w:sz w:val="20"/>
                <w:szCs w:val="20"/>
              </w:rPr>
              <w:t xml:space="preserve"> </w:t>
            </w:r>
            <w:r w:rsidRPr="007465EF">
              <w:rPr>
                <w:rFonts w:asciiTheme="majorHAnsi" w:hAnsiTheme="majorHAnsi" w:cstheme="majorHAnsi"/>
                <w:sz w:val="20"/>
                <w:szCs w:val="20"/>
              </w:rPr>
              <w:t>2024</w:t>
            </w:r>
          </w:p>
        </w:tc>
        <w:tc>
          <w:tcPr>
            <w:tcW w:w="1521" w:type="dxa"/>
            <w:tcBorders>
              <w:top w:val="nil"/>
              <w:bottom w:val="single" w:sz="4" w:space="0" w:color="auto"/>
            </w:tcBorders>
          </w:tcPr>
          <w:p w14:paraId="6FDD7642" w14:textId="68591966" w:rsidR="002F1944" w:rsidRPr="007465EF" w:rsidRDefault="002F1944"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7465EF">
              <w:rPr>
                <w:rFonts w:asciiTheme="majorHAnsi" w:hAnsiTheme="majorHAnsi" w:cstheme="majorHAnsi"/>
                <w:bCs/>
                <w:sz w:val="20"/>
                <w:szCs w:val="20"/>
              </w:rPr>
              <w:t>Completed</w:t>
            </w:r>
          </w:p>
        </w:tc>
      </w:tr>
    </w:tbl>
    <w:p w14:paraId="64B4EDB9" w14:textId="6A8259A0" w:rsidR="00E34E37" w:rsidRPr="009C2DDC" w:rsidRDefault="08A3B0EE" w:rsidP="006978D8">
      <w:pPr>
        <w:pStyle w:val="Heading2"/>
        <w:rPr>
          <w:rFonts w:asciiTheme="majorHAnsi" w:hAnsiTheme="majorHAnsi"/>
        </w:rPr>
      </w:pPr>
      <w:bookmarkStart w:id="22" w:name="_Toc208711165"/>
      <w:bookmarkStart w:id="23" w:name="_Hlk137731531"/>
      <w:r w:rsidRPr="009C2DDC">
        <w:rPr>
          <w:rFonts w:asciiTheme="majorHAnsi" w:hAnsiTheme="majorHAnsi"/>
        </w:rPr>
        <w:t xml:space="preserve">DFAT </w:t>
      </w:r>
      <w:r w:rsidR="46FF3BEC" w:rsidRPr="6643C3DA">
        <w:rPr>
          <w:rFonts w:asciiTheme="majorHAnsi" w:hAnsiTheme="majorHAnsi"/>
        </w:rPr>
        <w:t>B</w:t>
      </w:r>
      <w:r w:rsidR="104EF17D" w:rsidRPr="009C2DDC">
        <w:rPr>
          <w:rFonts w:asciiTheme="majorHAnsi" w:hAnsiTheme="majorHAnsi"/>
        </w:rPr>
        <w:t>ilateral</w:t>
      </w:r>
      <w:bookmarkEnd w:id="22"/>
      <w:r w:rsidR="104EF17D" w:rsidRPr="009C2DDC">
        <w:rPr>
          <w:rFonts w:asciiTheme="majorHAnsi" w:hAnsiTheme="majorHAnsi"/>
        </w:rPr>
        <w:t xml:space="preserve"> </w:t>
      </w:r>
    </w:p>
    <w:bookmarkEnd w:id="6"/>
    <w:bookmarkEnd w:id="7"/>
    <w:bookmarkEnd w:id="23"/>
    <w:p w14:paraId="4A15BC8C" w14:textId="1F3BD37E" w:rsidR="00167056" w:rsidRPr="009C2DDC" w:rsidRDefault="00167056" w:rsidP="006978D8">
      <w:pPr>
        <w:spacing w:line="276" w:lineRule="auto"/>
        <w:jc w:val="left"/>
        <w:rPr>
          <w:rFonts w:asciiTheme="majorHAnsi" w:hAnsiTheme="majorHAnsi" w:cstheme="majorHAnsi"/>
          <w:sz w:val="20"/>
          <w:szCs w:val="20"/>
          <w:lang w:val="en-GB"/>
        </w:rPr>
      </w:pPr>
      <w:r w:rsidRPr="009C2DDC">
        <w:rPr>
          <w:rFonts w:asciiTheme="majorHAnsi" w:hAnsiTheme="majorHAnsi" w:cstheme="majorHAnsi"/>
          <w:sz w:val="20"/>
          <w:szCs w:val="20"/>
          <w:lang w:val="en-GB"/>
        </w:rPr>
        <w:t xml:space="preserve">This section presents information on bilateral gender projects funded and managed by </w:t>
      </w:r>
      <w:r w:rsidR="0069416A" w:rsidRPr="009C2DDC">
        <w:rPr>
          <w:rFonts w:asciiTheme="majorHAnsi" w:hAnsiTheme="majorHAnsi" w:cstheme="majorHAnsi"/>
          <w:sz w:val="20"/>
          <w:szCs w:val="20"/>
          <w:lang w:val="en-GB"/>
        </w:rPr>
        <w:t>Solomon Islands</w:t>
      </w:r>
      <w:r w:rsidRPr="009C2DDC">
        <w:rPr>
          <w:rFonts w:asciiTheme="majorHAnsi" w:hAnsiTheme="majorHAnsi" w:cstheme="majorHAnsi"/>
          <w:sz w:val="20"/>
          <w:szCs w:val="20"/>
          <w:lang w:val="en-GB"/>
        </w:rPr>
        <w:t xml:space="preserve"> DFAT Post.</w:t>
      </w:r>
      <w:r w:rsidR="005928BB" w:rsidRPr="009C2DDC">
        <w:rPr>
          <w:rFonts w:asciiTheme="majorHAnsi" w:hAnsiTheme="majorHAnsi" w:cstheme="majorHAnsi"/>
          <w:sz w:val="20"/>
          <w:szCs w:val="20"/>
          <w:lang w:val="en-GB"/>
        </w:rPr>
        <w:t xml:space="preserve"> DFAT Post recently launched its Gender Design Framework which will inform its gender priorities going forward. The project list in Table 5 will be </w:t>
      </w:r>
      <w:r w:rsidR="00480518" w:rsidRPr="009C2DDC">
        <w:rPr>
          <w:rFonts w:asciiTheme="majorHAnsi" w:hAnsiTheme="majorHAnsi" w:cstheme="majorHAnsi"/>
          <w:sz w:val="20"/>
          <w:szCs w:val="20"/>
          <w:lang w:val="en-GB"/>
        </w:rPr>
        <w:t xml:space="preserve">updated when DFAT Post starts granting under this new Framework. </w:t>
      </w:r>
    </w:p>
    <w:p w14:paraId="51032DE9" w14:textId="2630A3FD" w:rsidR="0043173C" w:rsidRPr="000C6216" w:rsidRDefault="000C6216" w:rsidP="006978D8">
      <w:pPr>
        <w:spacing w:line="276" w:lineRule="auto"/>
        <w:jc w:val="left"/>
        <w:rPr>
          <w:rFonts w:cstheme="minorHAnsi"/>
          <w:sz w:val="20"/>
          <w:szCs w:val="20"/>
        </w:rPr>
      </w:pPr>
      <w:r>
        <w:rPr>
          <w:rFonts w:cstheme="minorHAnsi"/>
          <w:sz w:val="20"/>
          <w:szCs w:val="20"/>
          <w:lang w:val="en-GB"/>
        </w:rPr>
        <w:t xml:space="preserve">There are </w:t>
      </w:r>
      <w:r w:rsidR="0069416A">
        <w:rPr>
          <w:rFonts w:cstheme="minorHAnsi"/>
          <w:sz w:val="20"/>
          <w:szCs w:val="20"/>
          <w:lang w:val="en-GB"/>
        </w:rPr>
        <w:t>10</w:t>
      </w:r>
      <w:r w:rsidRPr="000C6216">
        <w:rPr>
          <w:rFonts w:cstheme="minorHAnsi"/>
          <w:sz w:val="20"/>
          <w:szCs w:val="20"/>
          <w:lang w:val="en-GB"/>
        </w:rPr>
        <w:t xml:space="preserve"> projects implemented by </w:t>
      </w:r>
      <w:r w:rsidR="00830D57">
        <w:rPr>
          <w:rFonts w:cstheme="minorHAnsi"/>
          <w:sz w:val="20"/>
          <w:szCs w:val="20"/>
          <w:lang w:val="en-GB"/>
        </w:rPr>
        <w:t>8</w:t>
      </w:r>
      <w:r w:rsidR="00830D57" w:rsidRPr="000C6216">
        <w:rPr>
          <w:rFonts w:cstheme="minorHAnsi"/>
          <w:sz w:val="20"/>
          <w:szCs w:val="20"/>
          <w:lang w:val="en-GB"/>
        </w:rPr>
        <w:t xml:space="preserve"> </w:t>
      </w:r>
      <w:r w:rsidRPr="000C6216">
        <w:rPr>
          <w:rFonts w:cstheme="minorHAnsi"/>
          <w:sz w:val="20"/>
          <w:szCs w:val="20"/>
          <w:lang w:val="en-GB"/>
        </w:rPr>
        <w:t>distinct implementing partners in Solomon Islands</w:t>
      </w:r>
      <w:r w:rsidR="0032014A" w:rsidRPr="000C6216">
        <w:rPr>
          <w:rFonts w:cstheme="minorHAnsi"/>
          <w:sz w:val="20"/>
          <w:szCs w:val="20"/>
        </w:rPr>
        <w:t xml:space="preserve">. </w:t>
      </w:r>
      <w:r w:rsidR="00E23026">
        <w:rPr>
          <w:rFonts w:cstheme="minorHAnsi"/>
          <w:sz w:val="20"/>
          <w:szCs w:val="20"/>
        </w:rPr>
        <w:t xml:space="preserve">Of these, 3 are going and 7 have been completed. </w:t>
      </w:r>
    </w:p>
    <w:p w14:paraId="654F0116" w14:textId="0DCD217E" w:rsidR="004D29AE" w:rsidRPr="00167056" w:rsidRDefault="004D29AE" w:rsidP="006978D8">
      <w:pPr>
        <w:pStyle w:val="Caption"/>
        <w:rPr>
          <w:sz w:val="20"/>
          <w:szCs w:val="20"/>
        </w:rPr>
      </w:pPr>
      <w:r w:rsidRPr="00167056">
        <w:rPr>
          <w:sz w:val="20"/>
          <w:szCs w:val="20"/>
        </w:rPr>
        <w:lastRenderedPageBreak/>
        <w:t xml:space="preserve">Table </w:t>
      </w:r>
      <w:r w:rsidR="0081316B">
        <w:rPr>
          <w:sz w:val="20"/>
          <w:szCs w:val="20"/>
        </w:rPr>
        <w:t>5</w:t>
      </w:r>
      <w:r w:rsidRPr="00167056">
        <w:rPr>
          <w:sz w:val="20"/>
          <w:szCs w:val="20"/>
        </w:rPr>
        <w:t xml:space="preserve">: DFAT </w:t>
      </w:r>
      <w:r w:rsidR="00305724" w:rsidRPr="00167056">
        <w:rPr>
          <w:sz w:val="20"/>
          <w:szCs w:val="20"/>
        </w:rPr>
        <w:t>bilateral</w:t>
      </w:r>
      <w:r w:rsidRPr="00167056">
        <w:rPr>
          <w:sz w:val="20"/>
          <w:szCs w:val="20"/>
        </w:rPr>
        <w:t xml:space="preserve"> </w:t>
      </w:r>
      <w:r w:rsidR="007B5411">
        <w:rPr>
          <w:sz w:val="20"/>
          <w:szCs w:val="20"/>
        </w:rPr>
        <w:t>grants</w:t>
      </w:r>
      <w:r w:rsidR="007B5411" w:rsidRPr="00167056">
        <w:rPr>
          <w:sz w:val="20"/>
          <w:szCs w:val="20"/>
        </w:rPr>
        <w:t xml:space="preserve"> </w:t>
      </w:r>
      <w:r w:rsidR="001527E4" w:rsidRPr="00167056">
        <w:rPr>
          <w:sz w:val="20"/>
          <w:szCs w:val="20"/>
        </w:rPr>
        <w:t xml:space="preserve">in </w:t>
      </w:r>
      <w:r w:rsidR="00551CE3" w:rsidRPr="00167056">
        <w:rPr>
          <w:sz w:val="20"/>
          <w:szCs w:val="20"/>
        </w:rPr>
        <w:t>Solomon Islands</w:t>
      </w:r>
      <w:r w:rsidR="001527E4" w:rsidRPr="00167056">
        <w:rPr>
          <w:sz w:val="20"/>
          <w:szCs w:val="20"/>
        </w:rPr>
        <w:t xml:space="preserve"> </w:t>
      </w:r>
      <w:r w:rsidRPr="00167056">
        <w:rPr>
          <w:sz w:val="20"/>
          <w:szCs w:val="20"/>
        </w:rPr>
        <w:t xml:space="preserve">as </w:t>
      </w:r>
      <w:r w:rsidR="0081316B" w:rsidRPr="00167056">
        <w:rPr>
          <w:sz w:val="20"/>
          <w:szCs w:val="20"/>
        </w:rPr>
        <w:t>of</w:t>
      </w:r>
      <w:r w:rsidRPr="00167056">
        <w:rPr>
          <w:sz w:val="20"/>
          <w:szCs w:val="20"/>
        </w:rPr>
        <w:t xml:space="preserve"> 31 </w:t>
      </w:r>
      <w:r w:rsidR="0081316B">
        <w:rPr>
          <w:sz w:val="20"/>
          <w:szCs w:val="20"/>
        </w:rPr>
        <w:t xml:space="preserve">August </w:t>
      </w:r>
      <w:r w:rsidR="00D37C49">
        <w:rPr>
          <w:sz w:val="20"/>
          <w:szCs w:val="20"/>
        </w:rPr>
        <w:t>2025</w:t>
      </w:r>
    </w:p>
    <w:tbl>
      <w:tblPr>
        <w:tblStyle w:val="PlainTable2"/>
        <w:tblW w:w="9731" w:type="dxa"/>
        <w:tblInd w:w="1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2"/>
        <w:gridCol w:w="1183"/>
        <w:gridCol w:w="1911"/>
        <w:gridCol w:w="3370"/>
        <w:gridCol w:w="1388"/>
        <w:gridCol w:w="1257"/>
      </w:tblGrid>
      <w:tr w:rsidR="00C45DD1" w:rsidRPr="006E00DA" w14:paraId="07BF33C4" w14:textId="7B97DD2E" w:rsidTr="00011D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shd w:val="clear" w:color="auto" w:fill="006699"/>
            <w:vAlign w:val="center"/>
          </w:tcPr>
          <w:p w14:paraId="19818C56" w14:textId="77777777" w:rsidR="00167056" w:rsidRPr="009C2DDC" w:rsidRDefault="00167056" w:rsidP="006978D8">
            <w:pPr>
              <w:spacing w:line="276" w:lineRule="auto"/>
              <w:rPr>
                <w:rFonts w:asciiTheme="majorHAnsi" w:hAnsiTheme="majorHAnsi" w:cstheme="majorHAnsi"/>
                <w:sz w:val="20"/>
                <w:szCs w:val="20"/>
              </w:rPr>
            </w:pPr>
            <w:r w:rsidRPr="009C2DDC">
              <w:rPr>
                <w:rFonts w:asciiTheme="majorHAnsi" w:hAnsiTheme="majorHAnsi" w:cstheme="majorHAnsi"/>
                <w:color w:val="FFFFFF" w:themeColor="background1"/>
                <w:sz w:val="20"/>
                <w:szCs w:val="20"/>
              </w:rPr>
              <w:t>No.</w:t>
            </w:r>
          </w:p>
        </w:tc>
        <w:tc>
          <w:tcPr>
            <w:tcW w:w="1183" w:type="dxa"/>
            <w:shd w:val="clear" w:color="auto" w:fill="006699"/>
            <w:vAlign w:val="center"/>
          </w:tcPr>
          <w:p w14:paraId="19F17318" w14:textId="77777777" w:rsidR="00167056" w:rsidRPr="009C2DDC" w:rsidRDefault="00167056" w:rsidP="006978D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roofErr w:type="spellStart"/>
            <w:r w:rsidRPr="009C2DDC">
              <w:rPr>
                <w:rFonts w:asciiTheme="majorHAnsi" w:hAnsiTheme="majorHAnsi" w:cstheme="majorHAnsi"/>
                <w:color w:val="FFFFFF" w:themeColor="background1"/>
                <w:sz w:val="20"/>
                <w:szCs w:val="20"/>
              </w:rPr>
              <w:t>Aidworks</w:t>
            </w:r>
            <w:proofErr w:type="spellEnd"/>
            <w:r w:rsidRPr="009C2DDC">
              <w:rPr>
                <w:rFonts w:asciiTheme="majorHAnsi" w:hAnsiTheme="majorHAnsi" w:cstheme="majorHAnsi"/>
                <w:color w:val="FFFFFF" w:themeColor="background1"/>
                <w:sz w:val="20"/>
                <w:szCs w:val="20"/>
              </w:rPr>
              <w:t xml:space="preserve"> number</w:t>
            </w:r>
          </w:p>
        </w:tc>
        <w:tc>
          <w:tcPr>
            <w:tcW w:w="1911" w:type="dxa"/>
            <w:shd w:val="clear" w:color="auto" w:fill="006699"/>
            <w:vAlign w:val="center"/>
          </w:tcPr>
          <w:p w14:paraId="5ED92DDE" w14:textId="77777777" w:rsidR="00167056" w:rsidRPr="009C2DDC" w:rsidRDefault="00167056" w:rsidP="006978D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color w:val="FFFFFF" w:themeColor="background1"/>
                <w:sz w:val="20"/>
                <w:szCs w:val="20"/>
              </w:rPr>
              <w:t>Project name and partner</w:t>
            </w:r>
          </w:p>
        </w:tc>
        <w:tc>
          <w:tcPr>
            <w:tcW w:w="3370" w:type="dxa"/>
            <w:shd w:val="clear" w:color="auto" w:fill="006699"/>
            <w:vAlign w:val="center"/>
          </w:tcPr>
          <w:p w14:paraId="4CC188CC" w14:textId="77777777" w:rsidR="00167056" w:rsidRPr="009C2DDC" w:rsidRDefault="00167056" w:rsidP="006978D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color w:val="FFFFFF" w:themeColor="background1"/>
                <w:sz w:val="20"/>
                <w:szCs w:val="20"/>
              </w:rPr>
              <w:t>Project description</w:t>
            </w:r>
          </w:p>
        </w:tc>
        <w:tc>
          <w:tcPr>
            <w:tcW w:w="1388" w:type="dxa"/>
            <w:shd w:val="clear" w:color="auto" w:fill="006699"/>
            <w:vAlign w:val="center"/>
          </w:tcPr>
          <w:p w14:paraId="37A9CA35" w14:textId="77777777" w:rsidR="00167056" w:rsidRPr="009C2DDC" w:rsidRDefault="00167056" w:rsidP="006978D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color w:val="FFFFFF" w:themeColor="background1"/>
                <w:sz w:val="20"/>
                <w:szCs w:val="20"/>
              </w:rPr>
              <w:t>Value (AUD) / timeframe</w:t>
            </w:r>
          </w:p>
        </w:tc>
        <w:tc>
          <w:tcPr>
            <w:tcW w:w="1257" w:type="dxa"/>
            <w:shd w:val="clear" w:color="auto" w:fill="006699"/>
          </w:tcPr>
          <w:p w14:paraId="0C0D32B6" w14:textId="23161FA1" w:rsidR="00167056" w:rsidRPr="009C2DDC" w:rsidRDefault="00167056" w:rsidP="006978D8">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9C2DDC">
              <w:rPr>
                <w:rFonts w:asciiTheme="majorHAnsi" w:hAnsiTheme="majorHAnsi" w:cstheme="majorHAnsi"/>
                <w:color w:val="FFFFFF" w:themeColor="background1"/>
                <w:sz w:val="20"/>
                <w:szCs w:val="20"/>
              </w:rPr>
              <w:t>Project status</w:t>
            </w:r>
          </w:p>
        </w:tc>
      </w:tr>
      <w:tr w:rsidR="002A2E48" w:rsidRPr="006E00DA" w14:paraId="7D91F5FC" w14:textId="6F86682F" w:rsidTr="00011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tcBorders>
              <w:bottom w:val="single" w:sz="4" w:space="0" w:color="auto"/>
            </w:tcBorders>
          </w:tcPr>
          <w:p w14:paraId="4D3197E1" w14:textId="77777777" w:rsidR="00167056" w:rsidRPr="009C2DDC" w:rsidRDefault="00167056" w:rsidP="006978D8">
            <w:pPr>
              <w:spacing w:line="276" w:lineRule="auto"/>
              <w:rPr>
                <w:rFonts w:asciiTheme="majorHAnsi" w:hAnsiTheme="majorHAnsi" w:cstheme="majorHAnsi"/>
                <w:sz w:val="20"/>
                <w:szCs w:val="20"/>
              </w:rPr>
            </w:pPr>
            <w:r w:rsidRPr="009C2DDC">
              <w:rPr>
                <w:rFonts w:asciiTheme="majorHAnsi" w:hAnsiTheme="majorHAnsi" w:cstheme="majorHAnsi"/>
                <w:sz w:val="20"/>
                <w:szCs w:val="20"/>
              </w:rPr>
              <w:t>1</w:t>
            </w:r>
          </w:p>
        </w:tc>
        <w:tc>
          <w:tcPr>
            <w:tcW w:w="1183" w:type="dxa"/>
            <w:tcBorders>
              <w:bottom w:val="single" w:sz="4" w:space="0" w:color="auto"/>
            </w:tcBorders>
          </w:tcPr>
          <w:p w14:paraId="2B4C4D65"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74682</w:t>
            </w:r>
          </w:p>
          <w:p w14:paraId="029C7CFE" w14:textId="66822EDA"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tc>
        <w:tc>
          <w:tcPr>
            <w:tcW w:w="1911" w:type="dxa"/>
            <w:tcBorders>
              <w:bottom w:val="single" w:sz="4" w:space="0" w:color="auto"/>
            </w:tcBorders>
          </w:tcPr>
          <w:p w14:paraId="5E5EE327"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 xml:space="preserve">Channels of Hope Phase 3 </w:t>
            </w:r>
          </w:p>
          <w:p w14:paraId="78C6D29B"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p>
          <w:p w14:paraId="1B77A723" w14:textId="65F4BB6B"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lang w:val="en-US"/>
              </w:rPr>
              <w:t>(World Vision Solomon Islands)</w:t>
            </w:r>
          </w:p>
        </w:tc>
        <w:tc>
          <w:tcPr>
            <w:tcW w:w="3370" w:type="dxa"/>
            <w:tcBorders>
              <w:bottom w:val="single" w:sz="4" w:space="0" w:color="auto"/>
            </w:tcBorders>
          </w:tcPr>
          <w:p w14:paraId="5853ADE6" w14:textId="2145406B"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Channels of Hope is a faith-based approach to dealing with gender-based violence. It focuses on Churches as catalysts of change through a re-exploration of Biblical messages.</w:t>
            </w:r>
          </w:p>
        </w:tc>
        <w:tc>
          <w:tcPr>
            <w:tcW w:w="1388" w:type="dxa"/>
            <w:tcBorders>
              <w:bottom w:val="single" w:sz="4" w:space="0" w:color="auto"/>
            </w:tcBorders>
          </w:tcPr>
          <w:p w14:paraId="38E94A4E"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lang w:val="en-US"/>
              </w:rPr>
              <w:t>$</w:t>
            </w:r>
            <w:r w:rsidRPr="009C2DDC">
              <w:rPr>
                <w:rFonts w:asciiTheme="majorHAnsi" w:hAnsiTheme="majorHAnsi" w:cstheme="majorHAnsi"/>
                <w:bCs/>
                <w:sz w:val="20"/>
                <w:szCs w:val="20"/>
              </w:rPr>
              <w:t>1,256,500</w:t>
            </w:r>
          </w:p>
          <w:p w14:paraId="68D469A0"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p w14:paraId="37E5106B" w14:textId="3459BA79"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2021 –</w:t>
            </w:r>
            <w:r w:rsidR="003D01F9">
              <w:rPr>
                <w:rFonts w:asciiTheme="majorHAnsi" w:hAnsiTheme="majorHAnsi" w:cstheme="majorHAnsi"/>
                <w:bCs/>
                <w:sz w:val="20"/>
                <w:szCs w:val="20"/>
              </w:rPr>
              <w:t xml:space="preserve"> </w:t>
            </w:r>
            <w:r w:rsidRPr="009C2DDC">
              <w:rPr>
                <w:rFonts w:asciiTheme="majorHAnsi" w:hAnsiTheme="majorHAnsi" w:cstheme="majorHAnsi"/>
                <w:bCs/>
                <w:sz w:val="20"/>
                <w:szCs w:val="20"/>
              </w:rPr>
              <w:t>2023</w:t>
            </w:r>
          </w:p>
          <w:p w14:paraId="28220672"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p w14:paraId="1D7A72C7" w14:textId="78C501F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
                <w:iCs/>
                <w:sz w:val="20"/>
                <w:szCs w:val="20"/>
              </w:rPr>
            </w:pPr>
          </w:p>
        </w:tc>
        <w:tc>
          <w:tcPr>
            <w:tcW w:w="1257" w:type="dxa"/>
            <w:tcBorders>
              <w:bottom w:val="single" w:sz="4" w:space="0" w:color="auto"/>
            </w:tcBorders>
          </w:tcPr>
          <w:p w14:paraId="52E8344D" w14:textId="77777777" w:rsidR="000D54B7" w:rsidRPr="009C2DDC" w:rsidRDefault="000D54B7"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Completed</w:t>
            </w:r>
          </w:p>
          <w:p w14:paraId="1257D860"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p>
        </w:tc>
      </w:tr>
      <w:tr w:rsidR="002A2E48" w:rsidRPr="006E00DA" w14:paraId="7077A819" w14:textId="15048BAB" w:rsidTr="00011D21">
        <w:tc>
          <w:tcPr>
            <w:cnfStyle w:val="001000000000" w:firstRow="0" w:lastRow="0" w:firstColumn="1" w:lastColumn="0" w:oddVBand="0" w:evenVBand="0" w:oddHBand="0" w:evenHBand="0" w:firstRowFirstColumn="0" w:firstRowLastColumn="0" w:lastRowFirstColumn="0" w:lastRowLastColumn="0"/>
            <w:tcW w:w="622" w:type="dxa"/>
            <w:tcBorders>
              <w:top w:val="single" w:sz="4" w:space="0" w:color="auto"/>
              <w:bottom w:val="single" w:sz="4" w:space="0" w:color="auto"/>
            </w:tcBorders>
          </w:tcPr>
          <w:p w14:paraId="50E7DE79" w14:textId="1A01F0D5" w:rsidR="00167056" w:rsidRPr="009C2DDC" w:rsidRDefault="00167056" w:rsidP="006978D8">
            <w:pPr>
              <w:spacing w:line="276" w:lineRule="auto"/>
              <w:rPr>
                <w:rFonts w:asciiTheme="majorHAnsi" w:hAnsiTheme="majorHAnsi" w:cstheme="majorHAnsi"/>
                <w:sz w:val="20"/>
                <w:szCs w:val="20"/>
              </w:rPr>
            </w:pPr>
            <w:r w:rsidRPr="009C2DDC">
              <w:rPr>
                <w:rFonts w:asciiTheme="majorHAnsi" w:hAnsiTheme="majorHAnsi" w:cstheme="majorHAnsi"/>
                <w:sz w:val="20"/>
                <w:szCs w:val="20"/>
              </w:rPr>
              <w:t>2</w:t>
            </w:r>
          </w:p>
        </w:tc>
        <w:tc>
          <w:tcPr>
            <w:tcW w:w="1183" w:type="dxa"/>
            <w:tcBorders>
              <w:top w:val="single" w:sz="4" w:space="0" w:color="auto"/>
              <w:bottom w:val="single" w:sz="4" w:space="0" w:color="auto"/>
            </w:tcBorders>
          </w:tcPr>
          <w:p w14:paraId="2D7F0656" w14:textId="77777777"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74888</w:t>
            </w:r>
          </w:p>
          <w:p w14:paraId="6A4EB7E6" w14:textId="372BFC69"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tc>
        <w:tc>
          <w:tcPr>
            <w:tcW w:w="1911" w:type="dxa"/>
            <w:tcBorders>
              <w:top w:val="single" w:sz="4" w:space="0" w:color="auto"/>
              <w:bottom w:val="single" w:sz="4" w:space="0" w:color="auto"/>
            </w:tcBorders>
          </w:tcPr>
          <w:p w14:paraId="3E42A614" w14:textId="77777777"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rPr>
              <w:t xml:space="preserve">Let’s Make Our Families Safe </w:t>
            </w:r>
            <w:r w:rsidRPr="009C2DDC">
              <w:rPr>
                <w:rFonts w:asciiTheme="majorHAnsi" w:hAnsiTheme="majorHAnsi" w:cstheme="majorHAnsi"/>
                <w:bCs/>
                <w:sz w:val="20"/>
                <w:szCs w:val="20"/>
                <w:lang w:val="en-US"/>
              </w:rPr>
              <w:t xml:space="preserve">Phase 2 </w:t>
            </w:r>
            <w:r w:rsidRPr="009C2DDC">
              <w:rPr>
                <w:rFonts w:asciiTheme="majorHAnsi" w:hAnsiTheme="majorHAnsi" w:cstheme="majorHAnsi"/>
                <w:bCs/>
                <w:sz w:val="20"/>
                <w:szCs w:val="20"/>
              </w:rPr>
              <w:t>(Safe Families) Project</w:t>
            </w:r>
            <w:r w:rsidRPr="009C2DDC">
              <w:rPr>
                <w:rFonts w:asciiTheme="majorHAnsi" w:hAnsiTheme="majorHAnsi" w:cstheme="majorHAnsi"/>
                <w:bCs/>
                <w:sz w:val="20"/>
                <w:szCs w:val="20"/>
                <w:lang w:val="en-US"/>
              </w:rPr>
              <w:t xml:space="preserve"> </w:t>
            </w:r>
          </w:p>
          <w:p w14:paraId="4574650C" w14:textId="77777777"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p>
          <w:p w14:paraId="68F1DAA1" w14:textId="6E1A57DD"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lang w:val="en-US"/>
              </w:rPr>
              <w:t>(</w:t>
            </w:r>
            <w:r w:rsidR="003D01F9" w:rsidRPr="003D01F9">
              <w:rPr>
                <w:rFonts w:asciiTheme="majorHAnsi" w:hAnsiTheme="majorHAnsi" w:cstheme="majorHAnsi"/>
                <w:bCs/>
                <w:sz w:val="20"/>
                <w:szCs w:val="20"/>
                <w:lang w:val="en-US"/>
              </w:rPr>
              <w:t>Oxfam Australia</w:t>
            </w:r>
            <w:r w:rsidRPr="009C2DDC">
              <w:rPr>
                <w:rFonts w:asciiTheme="majorHAnsi" w:hAnsiTheme="majorHAnsi" w:cstheme="majorHAnsi"/>
                <w:bCs/>
                <w:sz w:val="20"/>
                <w:szCs w:val="20"/>
                <w:lang w:val="en-US"/>
              </w:rPr>
              <w:t>)</w:t>
            </w:r>
          </w:p>
        </w:tc>
        <w:tc>
          <w:tcPr>
            <w:tcW w:w="3370" w:type="dxa"/>
            <w:tcBorders>
              <w:top w:val="single" w:sz="4" w:space="0" w:color="auto"/>
              <w:bottom w:val="single" w:sz="4" w:space="0" w:color="auto"/>
            </w:tcBorders>
          </w:tcPr>
          <w:p w14:paraId="215D37CB" w14:textId="12E50AD4"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Safe Families is a multi-layered approach to violence prevention that aims to influence the social and cultural norm, values, attitudes and beliefs that support family and sexual violence, as well as enabling and resourcing collective action. Oxfam works with the Solomon Islands National Provincial Council of Women to implement the Safe Families Project through Provincial Council of Women in Malaita, Western, Choiseul and Temotu Provinces.</w:t>
            </w:r>
          </w:p>
        </w:tc>
        <w:tc>
          <w:tcPr>
            <w:tcW w:w="1388" w:type="dxa"/>
            <w:tcBorders>
              <w:top w:val="single" w:sz="4" w:space="0" w:color="auto"/>
              <w:bottom w:val="single" w:sz="4" w:space="0" w:color="auto"/>
            </w:tcBorders>
          </w:tcPr>
          <w:p w14:paraId="79427A73" w14:textId="77777777"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lang w:val="en-US"/>
              </w:rPr>
              <w:t>$</w:t>
            </w:r>
            <w:r w:rsidRPr="009C2DDC">
              <w:rPr>
                <w:rFonts w:asciiTheme="majorHAnsi" w:hAnsiTheme="majorHAnsi" w:cstheme="majorHAnsi"/>
                <w:bCs/>
                <w:sz w:val="20"/>
                <w:szCs w:val="20"/>
              </w:rPr>
              <w:t>1,500,000</w:t>
            </w:r>
          </w:p>
          <w:p w14:paraId="06608897" w14:textId="77777777"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p w14:paraId="4064B13E" w14:textId="5C4C29D1"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2021</w:t>
            </w:r>
            <w:r w:rsidR="003D01F9">
              <w:rPr>
                <w:rFonts w:asciiTheme="majorHAnsi" w:hAnsiTheme="majorHAnsi" w:cstheme="majorHAnsi"/>
                <w:bCs/>
                <w:sz w:val="20"/>
                <w:szCs w:val="20"/>
              </w:rPr>
              <w:t xml:space="preserve"> </w:t>
            </w:r>
            <w:r w:rsidRPr="009C2DDC">
              <w:rPr>
                <w:rFonts w:asciiTheme="majorHAnsi" w:hAnsiTheme="majorHAnsi" w:cstheme="majorHAnsi"/>
                <w:bCs/>
                <w:sz w:val="20"/>
                <w:szCs w:val="20"/>
              </w:rPr>
              <w:t>–</w:t>
            </w:r>
            <w:r w:rsidR="003D01F9">
              <w:rPr>
                <w:rFonts w:asciiTheme="majorHAnsi" w:hAnsiTheme="majorHAnsi" w:cstheme="majorHAnsi"/>
                <w:bCs/>
                <w:sz w:val="20"/>
                <w:szCs w:val="20"/>
              </w:rPr>
              <w:t xml:space="preserve"> </w:t>
            </w:r>
            <w:r w:rsidRPr="009C2DDC">
              <w:rPr>
                <w:rFonts w:asciiTheme="majorHAnsi" w:hAnsiTheme="majorHAnsi" w:cstheme="majorHAnsi"/>
                <w:bCs/>
                <w:sz w:val="20"/>
                <w:szCs w:val="20"/>
              </w:rPr>
              <w:t>2023</w:t>
            </w:r>
          </w:p>
          <w:p w14:paraId="5E049B0D" w14:textId="77777777"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p w14:paraId="10323067" w14:textId="4CECF256"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
                <w:iCs/>
                <w:sz w:val="20"/>
                <w:szCs w:val="20"/>
              </w:rPr>
            </w:pPr>
          </w:p>
        </w:tc>
        <w:tc>
          <w:tcPr>
            <w:tcW w:w="1257" w:type="dxa"/>
            <w:tcBorders>
              <w:top w:val="single" w:sz="4" w:space="0" w:color="auto"/>
              <w:bottom w:val="single" w:sz="4" w:space="0" w:color="auto"/>
            </w:tcBorders>
          </w:tcPr>
          <w:p w14:paraId="6A6EE1F4" w14:textId="3919BA0A" w:rsidR="00167056" w:rsidRPr="009C2DDC" w:rsidRDefault="000D54B7"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Completed</w:t>
            </w:r>
          </w:p>
        </w:tc>
      </w:tr>
      <w:tr w:rsidR="00C45DD1" w:rsidRPr="006E00DA" w14:paraId="31395B88" w14:textId="63161A27" w:rsidTr="00011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tcBorders>
              <w:top w:val="single" w:sz="4" w:space="0" w:color="auto"/>
              <w:bottom w:val="single" w:sz="4" w:space="0" w:color="auto"/>
            </w:tcBorders>
          </w:tcPr>
          <w:p w14:paraId="48B0982E" w14:textId="670D533E" w:rsidR="00167056" w:rsidRPr="009C2DDC" w:rsidRDefault="00B1755A" w:rsidP="006978D8">
            <w:pPr>
              <w:spacing w:line="276" w:lineRule="auto"/>
              <w:rPr>
                <w:rFonts w:asciiTheme="majorHAnsi" w:hAnsiTheme="majorHAnsi" w:cstheme="majorHAnsi"/>
                <w:sz w:val="20"/>
                <w:szCs w:val="20"/>
              </w:rPr>
            </w:pPr>
            <w:r>
              <w:rPr>
                <w:rFonts w:asciiTheme="majorHAnsi" w:hAnsiTheme="majorHAnsi" w:cstheme="majorHAnsi"/>
                <w:sz w:val="20"/>
                <w:szCs w:val="20"/>
              </w:rPr>
              <w:t>3</w:t>
            </w:r>
          </w:p>
        </w:tc>
        <w:tc>
          <w:tcPr>
            <w:tcW w:w="1183" w:type="dxa"/>
            <w:tcBorders>
              <w:top w:val="single" w:sz="4" w:space="0" w:color="auto"/>
              <w:bottom w:val="single" w:sz="4" w:space="0" w:color="auto"/>
            </w:tcBorders>
          </w:tcPr>
          <w:p w14:paraId="1A7EE9F4"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76862</w:t>
            </w:r>
          </w:p>
          <w:p w14:paraId="39CB01DD" w14:textId="3515A59B"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tc>
        <w:tc>
          <w:tcPr>
            <w:tcW w:w="1911" w:type="dxa"/>
            <w:tcBorders>
              <w:top w:val="single" w:sz="4" w:space="0" w:color="auto"/>
              <w:bottom w:val="single" w:sz="4" w:space="0" w:color="auto"/>
            </w:tcBorders>
          </w:tcPr>
          <w:p w14:paraId="3E1E4880" w14:textId="25A4FD9B"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Transforming Inclusion: Disability and Gender Mainstreaming</w:t>
            </w:r>
          </w:p>
          <w:p w14:paraId="3B407B88"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p>
          <w:p w14:paraId="3C135D5E" w14:textId="28E31FC1" w:rsidR="00167056" w:rsidRPr="009C2DDC" w:rsidRDefault="008377C7"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lang w:val="en-US"/>
              </w:rPr>
              <w:t>(</w:t>
            </w:r>
            <w:r w:rsidR="00167056" w:rsidRPr="009C2DDC">
              <w:rPr>
                <w:rFonts w:asciiTheme="majorHAnsi" w:hAnsiTheme="majorHAnsi" w:cstheme="majorHAnsi"/>
                <w:bCs/>
                <w:sz w:val="20"/>
                <w:szCs w:val="20"/>
                <w:lang w:val="en-US"/>
              </w:rPr>
              <w:t>People With Disability Solomon Islands</w:t>
            </w:r>
            <w:r w:rsidRPr="009C2DDC">
              <w:rPr>
                <w:rFonts w:asciiTheme="majorHAnsi" w:hAnsiTheme="majorHAnsi" w:cstheme="majorHAnsi"/>
                <w:bCs/>
                <w:sz w:val="20"/>
                <w:szCs w:val="20"/>
                <w:lang w:val="en-US"/>
              </w:rPr>
              <w:t xml:space="preserve"> - </w:t>
            </w:r>
            <w:r w:rsidR="00167056" w:rsidRPr="009C2DDC">
              <w:rPr>
                <w:rFonts w:asciiTheme="majorHAnsi" w:hAnsiTheme="majorHAnsi" w:cstheme="majorHAnsi"/>
                <w:bCs/>
                <w:sz w:val="20"/>
                <w:szCs w:val="20"/>
                <w:lang w:val="en-US"/>
              </w:rPr>
              <w:t>PWDSI)</w:t>
            </w:r>
          </w:p>
        </w:tc>
        <w:tc>
          <w:tcPr>
            <w:tcW w:w="3370" w:type="dxa"/>
            <w:tcBorders>
              <w:top w:val="single" w:sz="4" w:space="0" w:color="auto"/>
              <w:bottom w:val="single" w:sz="4" w:space="0" w:color="auto"/>
            </w:tcBorders>
          </w:tcPr>
          <w:p w14:paraId="4DF1B012" w14:textId="7F7B4A3B"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The project aims to enhance inclusion by addressing disability and gender equality. The project promotes social inclusion, improves access to justice, and supports leadership opportunities for women with disabilities.</w:t>
            </w:r>
          </w:p>
        </w:tc>
        <w:tc>
          <w:tcPr>
            <w:tcW w:w="1388" w:type="dxa"/>
            <w:tcBorders>
              <w:top w:val="single" w:sz="4" w:space="0" w:color="auto"/>
              <w:bottom w:val="single" w:sz="4" w:space="0" w:color="auto"/>
            </w:tcBorders>
          </w:tcPr>
          <w:p w14:paraId="72B8206F"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w:t>
            </w:r>
            <w:r w:rsidRPr="009C2DDC">
              <w:rPr>
                <w:rFonts w:asciiTheme="majorHAnsi" w:hAnsiTheme="majorHAnsi" w:cstheme="majorHAnsi"/>
                <w:bCs/>
                <w:sz w:val="20"/>
                <w:szCs w:val="20"/>
              </w:rPr>
              <w:t>40,000</w:t>
            </w:r>
          </w:p>
          <w:p w14:paraId="1CC138B7"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p>
          <w:p w14:paraId="3BA977A8" w14:textId="1EC38286"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2021</w:t>
            </w:r>
            <w:r w:rsidR="009852BF">
              <w:rPr>
                <w:rFonts w:asciiTheme="majorHAnsi" w:hAnsiTheme="majorHAnsi" w:cstheme="majorHAnsi"/>
                <w:bCs/>
                <w:sz w:val="20"/>
                <w:szCs w:val="20"/>
                <w:lang w:val="en-US"/>
              </w:rPr>
              <w:t xml:space="preserve"> </w:t>
            </w:r>
            <w:r w:rsidRPr="009C2DDC">
              <w:rPr>
                <w:rFonts w:asciiTheme="majorHAnsi" w:hAnsiTheme="majorHAnsi" w:cstheme="majorHAnsi"/>
                <w:bCs/>
                <w:sz w:val="20"/>
                <w:szCs w:val="20"/>
                <w:lang w:val="en-US"/>
              </w:rPr>
              <w:t>–</w:t>
            </w:r>
            <w:r w:rsidR="009852BF">
              <w:rPr>
                <w:rFonts w:asciiTheme="majorHAnsi" w:hAnsiTheme="majorHAnsi" w:cstheme="majorHAnsi"/>
                <w:bCs/>
                <w:sz w:val="20"/>
                <w:szCs w:val="20"/>
                <w:lang w:val="en-US"/>
              </w:rPr>
              <w:t xml:space="preserve"> </w:t>
            </w:r>
            <w:r w:rsidRPr="009C2DDC">
              <w:rPr>
                <w:rFonts w:asciiTheme="majorHAnsi" w:hAnsiTheme="majorHAnsi" w:cstheme="majorHAnsi"/>
                <w:bCs/>
                <w:sz w:val="20"/>
                <w:szCs w:val="20"/>
                <w:lang w:val="en-US"/>
              </w:rPr>
              <w:t>2022</w:t>
            </w:r>
          </w:p>
          <w:p w14:paraId="44A7D427"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p>
          <w:p w14:paraId="4BFC82F9" w14:textId="64BAF0E3"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tc>
        <w:tc>
          <w:tcPr>
            <w:tcW w:w="1257" w:type="dxa"/>
            <w:tcBorders>
              <w:top w:val="single" w:sz="4" w:space="0" w:color="auto"/>
              <w:bottom w:val="single" w:sz="4" w:space="0" w:color="auto"/>
            </w:tcBorders>
          </w:tcPr>
          <w:p w14:paraId="1040D8EE" w14:textId="77777777" w:rsidR="000D54B7" w:rsidRPr="009C2DDC" w:rsidRDefault="000D54B7"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Completed</w:t>
            </w:r>
          </w:p>
          <w:p w14:paraId="61F64340"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p>
        </w:tc>
      </w:tr>
      <w:tr w:rsidR="00C45DD1" w:rsidRPr="006E00DA" w14:paraId="7F273A3F" w14:textId="31122432" w:rsidTr="00011D21">
        <w:tc>
          <w:tcPr>
            <w:tcW w:w="622" w:type="dxa"/>
            <w:tcBorders>
              <w:top w:val="single" w:sz="4" w:space="0" w:color="auto"/>
              <w:bottom w:val="nil"/>
            </w:tcBorders>
          </w:tcPr>
          <w:p w14:paraId="7C66B8DF" w14:textId="270B7FA3" w:rsidR="00167056" w:rsidRPr="009C2DDC" w:rsidRDefault="00B1755A" w:rsidP="006978D8">
            <w:pPr>
              <w:spacing w:line="276" w:lineRule="auto"/>
              <w:cnfStyle w:val="001000000000" w:firstRow="0" w:lastRow="0" w:firstColumn="1"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4</w:t>
            </w:r>
          </w:p>
        </w:tc>
        <w:tc>
          <w:tcPr>
            <w:tcW w:w="1183" w:type="dxa"/>
            <w:tcBorders>
              <w:top w:val="single" w:sz="4" w:space="0" w:color="auto"/>
              <w:bottom w:val="single" w:sz="4" w:space="0" w:color="auto"/>
            </w:tcBorders>
          </w:tcPr>
          <w:p w14:paraId="51D72D55" w14:textId="77777777" w:rsidR="00167056" w:rsidRPr="009C2DDC" w:rsidRDefault="00167056" w:rsidP="006978D8">
            <w:pPr>
              <w:spacing w:line="276" w:lineRule="auto"/>
              <w:rPr>
                <w:rFonts w:asciiTheme="majorHAnsi" w:hAnsiTheme="majorHAnsi" w:cstheme="majorHAnsi"/>
                <w:bCs/>
                <w:sz w:val="20"/>
                <w:szCs w:val="20"/>
              </w:rPr>
            </w:pPr>
            <w:r w:rsidRPr="009C2DDC">
              <w:rPr>
                <w:rFonts w:asciiTheme="majorHAnsi" w:hAnsiTheme="majorHAnsi" w:cstheme="majorHAnsi"/>
                <w:bCs/>
                <w:sz w:val="20"/>
                <w:szCs w:val="20"/>
              </w:rPr>
              <w:t>76873</w:t>
            </w:r>
          </w:p>
          <w:p w14:paraId="0BCF2E03" w14:textId="77777777" w:rsidR="00167056" w:rsidRPr="009C2DDC" w:rsidRDefault="00167056" w:rsidP="006978D8">
            <w:pPr>
              <w:spacing w:line="276" w:lineRule="auto"/>
              <w:rPr>
                <w:rFonts w:asciiTheme="majorHAnsi" w:hAnsiTheme="majorHAnsi" w:cstheme="majorHAnsi"/>
                <w:bCs/>
                <w:sz w:val="20"/>
                <w:szCs w:val="20"/>
              </w:rPr>
            </w:pPr>
          </w:p>
        </w:tc>
        <w:tc>
          <w:tcPr>
            <w:tcW w:w="1911" w:type="dxa"/>
            <w:tcBorders>
              <w:top w:val="single" w:sz="4" w:space="0" w:color="auto"/>
              <w:bottom w:val="single" w:sz="4" w:space="0" w:color="auto"/>
            </w:tcBorders>
          </w:tcPr>
          <w:p w14:paraId="1683CD5E" w14:textId="30E35713" w:rsidR="00167056" w:rsidRPr="009C2DDC" w:rsidRDefault="00167056" w:rsidP="006978D8">
            <w:pPr>
              <w:spacing w:line="276" w:lineRule="auto"/>
              <w:rPr>
                <w:rFonts w:asciiTheme="majorHAnsi" w:hAnsiTheme="majorHAnsi" w:cstheme="majorHAnsi"/>
                <w:bCs/>
                <w:sz w:val="20"/>
                <w:szCs w:val="20"/>
                <w:lang w:val="en-US"/>
              </w:rPr>
            </w:pPr>
            <w:r w:rsidRPr="009C2DDC">
              <w:rPr>
                <w:rFonts w:asciiTheme="majorHAnsi" w:hAnsiTheme="majorHAnsi" w:cstheme="majorHAnsi"/>
                <w:bCs/>
                <w:sz w:val="20"/>
                <w:szCs w:val="20"/>
                <w:lang w:val="en-US"/>
              </w:rPr>
              <w:t xml:space="preserve">Responding to Violence against Women Phase 2 </w:t>
            </w:r>
            <w:r w:rsidR="0077040E" w:rsidRPr="009C2DDC">
              <w:rPr>
                <w:rStyle w:val="FootnoteReference"/>
                <w:rFonts w:asciiTheme="majorHAnsi" w:hAnsiTheme="majorHAnsi" w:cstheme="majorHAnsi"/>
                <w:bCs/>
                <w:sz w:val="20"/>
                <w:szCs w:val="20"/>
                <w:lang w:val="en-US"/>
              </w:rPr>
              <w:footnoteReference w:id="7"/>
            </w:r>
          </w:p>
          <w:p w14:paraId="5F2E110A" w14:textId="77777777" w:rsidR="00167056" w:rsidRPr="009C2DDC" w:rsidRDefault="00167056" w:rsidP="006978D8">
            <w:pPr>
              <w:spacing w:line="276" w:lineRule="auto"/>
              <w:rPr>
                <w:rFonts w:asciiTheme="majorHAnsi" w:hAnsiTheme="majorHAnsi" w:cstheme="majorHAnsi"/>
                <w:bCs/>
                <w:sz w:val="20"/>
                <w:szCs w:val="20"/>
                <w:lang w:val="en-US"/>
              </w:rPr>
            </w:pPr>
          </w:p>
          <w:p w14:paraId="2624EB41" w14:textId="3BB9BA55" w:rsidR="00167056" w:rsidRPr="009C2DDC" w:rsidRDefault="00167056" w:rsidP="006978D8">
            <w:pPr>
              <w:spacing w:line="276" w:lineRule="auto"/>
              <w:rPr>
                <w:rFonts w:asciiTheme="majorHAnsi" w:hAnsiTheme="majorHAnsi" w:cstheme="majorHAnsi"/>
                <w:bCs/>
                <w:sz w:val="20"/>
                <w:szCs w:val="20"/>
                <w:lang w:val="en-US"/>
              </w:rPr>
            </w:pPr>
            <w:r w:rsidRPr="009C2DDC">
              <w:rPr>
                <w:rFonts w:asciiTheme="majorHAnsi" w:hAnsiTheme="majorHAnsi" w:cstheme="majorHAnsi"/>
                <w:bCs/>
                <w:sz w:val="20"/>
                <w:szCs w:val="20"/>
                <w:lang w:val="en-US"/>
              </w:rPr>
              <w:t>(IWDA with the Family Support Centre and the Christian Care Centre)</w:t>
            </w:r>
          </w:p>
        </w:tc>
        <w:tc>
          <w:tcPr>
            <w:tcW w:w="3370" w:type="dxa"/>
            <w:tcBorders>
              <w:top w:val="single" w:sz="4" w:space="0" w:color="auto"/>
              <w:bottom w:val="single" w:sz="4" w:space="0" w:color="auto"/>
            </w:tcBorders>
          </w:tcPr>
          <w:p w14:paraId="7161DEFF" w14:textId="0CE9E410" w:rsidR="00167056" w:rsidRPr="009C2DDC" w:rsidRDefault="00167056" w:rsidP="006978D8">
            <w:pPr>
              <w:spacing w:line="276" w:lineRule="auto"/>
              <w:rPr>
                <w:rFonts w:asciiTheme="majorHAnsi" w:hAnsiTheme="majorHAnsi" w:cstheme="majorHAnsi"/>
                <w:bCs/>
                <w:sz w:val="20"/>
                <w:szCs w:val="20"/>
                <w:lang w:val="en-US"/>
              </w:rPr>
            </w:pPr>
            <w:r w:rsidRPr="009C2DDC">
              <w:rPr>
                <w:rFonts w:asciiTheme="majorHAnsi" w:hAnsiTheme="majorHAnsi" w:cstheme="majorHAnsi"/>
                <w:bCs/>
                <w:sz w:val="20"/>
                <w:szCs w:val="20"/>
                <w:lang w:val="en-US"/>
              </w:rPr>
              <w:t xml:space="preserve">The project provides core funding, technical support and capacity building to the Christian Care Centre and Family Support Centre, two </w:t>
            </w:r>
            <w:r w:rsidR="00B1755A" w:rsidRPr="00B1755A">
              <w:rPr>
                <w:rFonts w:asciiTheme="majorHAnsi" w:hAnsiTheme="majorHAnsi" w:cstheme="majorHAnsi"/>
                <w:bCs/>
                <w:sz w:val="20"/>
                <w:szCs w:val="20"/>
                <w:lang w:val="en-US"/>
              </w:rPr>
              <w:t>keys</w:t>
            </w:r>
            <w:r w:rsidRPr="009C2DDC">
              <w:rPr>
                <w:rFonts w:asciiTheme="majorHAnsi" w:hAnsiTheme="majorHAnsi" w:cstheme="majorHAnsi"/>
                <w:bCs/>
                <w:sz w:val="20"/>
                <w:szCs w:val="20"/>
                <w:lang w:val="en-US"/>
              </w:rPr>
              <w:t xml:space="preserve"> </w:t>
            </w:r>
            <w:r w:rsidR="00983FAA" w:rsidRPr="00983FAA">
              <w:rPr>
                <w:rFonts w:asciiTheme="majorHAnsi" w:hAnsiTheme="majorHAnsi" w:cstheme="majorHAnsi"/>
                <w:bCs/>
                <w:sz w:val="20"/>
                <w:szCs w:val="20"/>
                <w:lang w:val="en-US"/>
              </w:rPr>
              <w:t>organi</w:t>
            </w:r>
            <w:r w:rsidR="00C34CAD">
              <w:rPr>
                <w:rFonts w:asciiTheme="majorHAnsi" w:hAnsiTheme="majorHAnsi" w:cstheme="majorHAnsi"/>
                <w:bCs/>
                <w:sz w:val="20"/>
                <w:szCs w:val="20"/>
                <w:lang w:val="en-US"/>
              </w:rPr>
              <w:t>s</w:t>
            </w:r>
            <w:r w:rsidR="00983FAA" w:rsidRPr="00983FAA">
              <w:rPr>
                <w:rFonts w:asciiTheme="majorHAnsi" w:hAnsiTheme="majorHAnsi" w:cstheme="majorHAnsi"/>
                <w:bCs/>
                <w:sz w:val="20"/>
                <w:szCs w:val="20"/>
                <w:lang w:val="en-US"/>
              </w:rPr>
              <w:t>ations</w:t>
            </w:r>
            <w:r w:rsidRPr="009C2DDC">
              <w:rPr>
                <w:rFonts w:asciiTheme="majorHAnsi" w:hAnsiTheme="majorHAnsi" w:cstheme="majorHAnsi"/>
                <w:bCs/>
                <w:sz w:val="20"/>
                <w:szCs w:val="20"/>
                <w:lang w:val="en-US"/>
              </w:rPr>
              <w:t xml:space="preserve"> providing emergency shelter, first aid, counselling, and legal services to survivors of violence. This includes funding to explore options (including through property construction, purchase or long-term rental) for ensuring that the Family Support Centre has a permanent crisis centre in Honiara.</w:t>
            </w:r>
          </w:p>
        </w:tc>
        <w:tc>
          <w:tcPr>
            <w:tcW w:w="1388" w:type="dxa"/>
            <w:tcBorders>
              <w:top w:val="single" w:sz="4" w:space="0" w:color="auto"/>
              <w:bottom w:val="single" w:sz="4" w:space="0" w:color="auto"/>
            </w:tcBorders>
          </w:tcPr>
          <w:p w14:paraId="0D025EAD" w14:textId="77777777" w:rsidR="00167056" w:rsidRPr="009C2DDC" w:rsidRDefault="00167056" w:rsidP="006978D8">
            <w:pPr>
              <w:spacing w:line="276" w:lineRule="auto"/>
              <w:rPr>
                <w:rFonts w:asciiTheme="majorHAnsi" w:hAnsiTheme="majorHAnsi" w:cstheme="majorHAnsi"/>
                <w:bCs/>
                <w:sz w:val="20"/>
                <w:szCs w:val="20"/>
                <w:lang w:val="en-US"/>
              </w:rPr>
            </w:pPr>
            <w:r w:rsidRPr="009C2DDC">
              <w:rPr>
                <w:rFonts w:asciiTheme="majorHAnsi" w:hAnsiTheme="majorHAnsi" w:cstheme="majorHAnsi"/>
                <w:bCs/>
                <w:sz w:val="20"/>
                <w:szCs w:val="20"/>
                <w:lang w:val="en-US"/>
              </w:rPr>
              <w:t>$</w:t>
            </w:r>
            <w:r w:rsidRPr="009C2DDC">
              <w:rPr>
                <w:rFonts w:asciiTheme="majorHAnsi" w:hAnsiTheme="majorHAnsi" w:cstheme="majorHAnsi"/>
                <w:bCs/>
                <w:sz w:val="20"/>
                <w:szCs w:val="20"/>
              </w:rPr>
              <w:t>1,580,813</w:t>
            </w:r>
          </w:p>
          <w:p w14:paraId="2EF6B9BD" w14:textId="77777777" w:rsidR="00167056" w:rsidRPr="009C2DDC" w:rsidRDefault="00167056" w:rsidP="006978D8">
            <w:pPr>
              <w:spacing w:line="276" w:lineRule="auto"/>
              <w:rPr>
                <w:rFonts w:asciiTheme="majorHAnsi" w:hAnsiTheme="majorHAnsi" w:cstheme="majorHAnsi"/>
                <w:bCs/>
                <w:sz w:val="20"/>
                <w:szCs w:val="20"/>
                <w:lang w:val="en-US"/>
              </w:rPr>
            </w:pPr>
          </w:p>
          <w:p w14:paraId="4A40458D" w14:textId="58437DE5" w:rsidR="00167056" w:rsidRPr="009C2DDC" w:rsidRDefault="00167056" w:rsidP="006978D8">
            <w:pPr>
              <w:spacing w:line="276" w:lineRule="auto"/>
              <w:rPr>
                <w:rFonts w:asciiTheme="majorHAnsi" w:hAnsiTheme="majorHAnsi" w:cstheme="majorHAnsi"/>
                <w:bCs/>
                <w:sz w:val="20"/>
                <w:szCs w:val="20"/>
                <w:lang w:val="en-US"/>
              </w:rPr>
            </w:pPr>
            <w:r w:rsidRPr="009C2DDC">
              <w:rPr>
                <w:rFonts w:asciiTheme="majorHAnsi" w:hAnsiTheme="majorHAnsi" w:cstheme="majorHAnsi"/>
                <w:bCs/>
                <w:sz w:val="20"/>
                <w:szCs w:val="20"/>
                <w:lang w:val="en-US"/>
              </w:rPr>
              <w:t>2021</w:t>
            </w:r>
            <w:r w:rsidR="00B1755A">
              <w:rPr>
                <w:rFonts w:asciiTheme="majorHAnsi" w:hAnsiTheme="majorHAnsi" w:cstheme="majorHAnsi"/>
                <w:bCs/>
                <w:sz w:val="20"/>
                <w:szCs w:val="20"/>
                <w:lang w:val="en-US"/>
              </w:rPr>
              <w:t xml:space="preserve"> </w:t>
            </w:r>
            <w:r w:rsidRPr="009C2DDC">
              <w:rPr>
                <w:rFonts w:asciiTheme="majorHAnsi" w:hAnsiTheme="majorHAnsi" w:cstheme="majorHAnsi"/>
                <w:bCs/>
                <w:sz w:val="20"/>
                <w:szCs w:val="20"/>
                <w:lang w:val="en-US"/>
              </w:rPr>
              <w:t>–</w:t>
            </w:r>
            <w:r w:rsidR="00B1755A">
              <w:rPr>
                <w:rFonts w:asciiTheme="majorHAnsi" w:hAnsiTheme="majorHAnsi" w:cstheme="majorHAnsi"/>
                <w:bCs/>
                <w:sz w:val="20"/>
                <w:szCs w:val="20"/>
                <w:lang w:val="en-US"/>
              </w:rPr>
              <w:t xml:space="preserve"> </w:t>
            </w:r>
            <w:r w:rsidRPr="009C2DDC">
              <w:rPr>
                <w:rFonts w:asciiTheme="majorHAnsi" w:hAnsiTheme="majorHAnsi" w:cstheme="majorHAnsi"/>
                <w:bCs/>
                <w:sz w:val="20"/>
                <w:szCs w:val="20"/>
                <w:lang w:val="en-US"/>
              </w:rPr>
              <w:t>2023</w:t>
            </w:r>
          </w:p>
          <w:p w14:paraId="0D456E9C" w14:textId="77777777" w:rsidR="00167056" w:rsidRPr="009C2DDC" w:rsidRDefault="00167056" w:rsidP="006978D8">
            <w:pPr>
              <w:spacing w:line="276" w:lineRule="auto"/>
              <w:rPr>
                <w:rFonts w:asciiTheme="majorHAnsi" w:hAnsiTheme="majorHAnsi" w:cstheme="majorHAnsi"/>
                <w:bCs/>
                <w:sz w:val="20"/>
                <w:szCs w:val="20"/>
                <w:lang w:val="en-US"/>
              </w:rPr>
            </w:pPr>
          </w:p>
          <w:p w14:paraId="52B4DA4A" w14:textId="1FDB8883" w:rsidR="00167056" w:rsidRPr="009C2DDC" w:rsidRDefault="00167056" w:rsidP="006978D8">
            <w:pPr>
              <w:spacing w:line="276" w:lineRule="auto"/>
              <w:rPr>
                <w:rFonts w:asciiTheme="majorHAnsi" w:hAnsiTheme="majorHAnsi" w:cstheme="majorHAnsi"/>
                <w:bCs/>
                <w:i/>
                <w:iCs/>
                <w:sz w:val="20"/>
                <w:szCs w:val="20"/>
                <w:lang w:val="en-US"/>
              </w:rPr>
            </w:pPr>
          </w:p>
        </w:tc>
        <w:tc>
          <w:tcPr>
            <w:tcW w:w="1257" w:type="dxa"/>
            <w:tcBorders>
              <w:top w:val="single" w:sz="4" w:space="0" w:color="auto"/>
              <w:bottom w:val="single" w:sz="4" w:space="0" w:color="auto"/>
            </w:tcBorders>
          </w:tcPr>
          <w:p w14:paraId="20035335" w14:textId="4410BE44" w:rsidR="00167056" w:rsidRPr="009C2DDC" w:rsidRDefault="00956DCB" w:rsidP="006978D8">
            <w:pPr>
              <w:spacing w:line="276" w:lineRule="auto"/>
              <w:rPr>
                <w:rFonts w:asciiTheme="majorHAnsi" w:hAnsiTheme="majorHAnsi" w:cstheme="majorHAnsi"/>
                <w:bCs/>
                <w:sz w:val="20"/>
                <w:szCs w:val="20"/>
                <w:lang w:val="en-US"/>
              </w:rPr>
            </w:pPr>
            <w:r w:rsidRPr="009C2DDC">
              <w:rPr>
                <w:rFonts w:asciiTheme="majorHAnsi" w:hAnsiTheme="majorHAnsi" w:cstheme="majorHAnsi"/>
                <w:bCs/>
                <w:sz w:val="20"/>
                <w:szCs w:val="20"/>
                <w:lang w:val="en-US"/>
              </w:rPr>
              <w:t>Completed</w:t>
            </w:r>
          </w:p>
        </w:tc>
      </w:tr>
      <w:tr w:rsidR="00F641FA" w:rsidRPr="006E00DA" w14:paraId="154E24C1" w14:textId="77777777" w:rsidTr="00011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tcBorders>
              <w:top w:val="nil"/>
              <w:bottom w:val="single" w:sz="4" w:space="0" w:color="auto"/>
            </w:tcBorders>
          </w:tcPr>
          <w:p w14:paraId="031EA71B" w14:textId="77777777" w:rsidR="00F641FA" w:rsidRDefault="00F641FA" w:rsidP="006978D8">
            <w:pPr>
              <w:spacing w:line="276" w:lineRule="auto"/>
              <w:rPr>
                <w:rFonts w:asciiTheme="majorHAnsi" w:hAnsiTheme="majorHAnsi" w:cstheme="majorHAnsi"/>
                <w:sz w:val="20"/>
                <w:szCs w:val="20"/>
              </w:rPr>
            </w:pPr>
          </w:p>
        </w:tc>
        <w:tc>
          <w:tcPr>
            <w:tcW w:w="1183" w:type="dxa"/>
            <w:tcBorders>
              <w:top w:val="single" w:sz="4" w:space="0" w:color="auto"/>
              <w:bottom w:val="single" w:sz="4" w:space="0" w:color="auto"/>
            </w:tcBorders>
          </w:tcPr>
          <w:p w14:paraId="49FD70E1" w14:textId="72E1EDB9" w:rsidR="00F641FA" w:rsidRPr="00F641FA" w:rsidRDefault="003349F0"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Pr>
                <w:rFonts w:asciiTheme="majorHAnsi" w:hAnsiTheme="majorHAnsi" w:cstheme="majorHAnsi"/>
                <w:bCs/>
                <w:sz w:val="20"/>
                <w:szCs w:val="20"/>
                <w:lang w:val="en-US"/>
              </w:rPr>
              <w:t>78903</w:t>
            </w:r>
          </w:p>
        </w:tc>
        <w:tc>
          <w:tcPr>
            <w:tcW w:w="1911" w:type="dxa"/>
            <w:tcBorders>
              <w:top w:val="single" w:sz="4" w:space="0" w:color="auto"/>
              <w:bottom w:val="single" w:sz="4" w:space="0" w:color="auto"/>
            </w:tcBorders>
          </w:tcPr>
          <w:p w14:paraId="4CBAF285" w14:textId="77777777" w:rsidR="00F641FA" w:rsidRDefault="003349F0"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3349F0">
              <w:rPr>
                <w:rFonts w:asciiTheme="majorHAnsi" w:hAnsiTheme="majorHAnsi" w:cstheme="majorHAnsi"/>
                <w:bCs/>
                <w:sz w:val="20"/>
                <w:szCs w:val="20"/>
                <w:lang w:val="en-US"/>
              </w:rPr>
              <w:t>Responding to Violence against Women Phase 3</w:t>
            </w:r>
          </w:p>
          <w:p w14:paraId="2A5A4EC0" w14:textId="77777777" w:rsidR="003349F0" w:rsidRDefault="003349F0"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p>
          <w:p w14:paraId="1AE038D1" w14:textId="147B1839" w:rsidR="003349F0" w:rsidRPr="00E45A66" w:rsidRDefault="003349F0"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7465EF">
              <w:rPr>
                <w:rFonts w:asciiTheme="majorHAnsi" w:hAnsiTheme="majorHAnsi" w:cstheme="majorHAnsi"/>
                <w:bCs/>
                <w:sz w:val="20"/>
                <w:szCs w:val="20"/>
                <w:lang w:val="en-US"/>
              </w:rPr>
              <w:lastRenderedPageBreak/>
              <w:t>(IWDA with the Family Support Centre and the Christian Care Centre</w:t>
            </w:r>
          </w:p>
        </w:tc>
        <w:tc>
          <w:tcPr>
            <w:tcW w:w="3370" w:type="dxa"/>
            <w:tcBorders>
              <w:top w:val="single" w:sz="4" w:space="0" w:color="auto"/>
              <w:bottom w:val="single" w:sz="4" w:space="0" w:color="auto"/>
            </w:tcBorders>
          </w:tcPr>
          <w:p w14:paraId="26F06293" w14:textId="77777777" w:rsidR="00F641FA" w:rsidRPr="00F641FA" w:rsidRDefault="00F641FA"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tc>
        <w:tc>
          <w:tcPr>
            <w:tcW w:w="1388" w:type="dxa"/>
            <w:tcBorders>
              <w:top w:val="single" w:sz="4" w:space="0" w:color="auto"/>
              <w:bottom w:val="single" w:sz="4" w:space="0" w:color="auto"/>
            </w:tcBorders>
          </w:tcPr>
          <w:p w14:paraId="57B82454" w14:textId="1C3E5BFA" w:rsidR="00A75AEA" w:rsidRDefault="00A75AEA" w:rsidP="006978D8">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22"/>
              </w:rPr>
            </w:pPr>
            <w:r>
              <w:rPr>
                <w:rFonts w:ascii="Aptos Narrow" w:hAnsi="Aptos Narrow"/>
                <w:color w:val="000000"/>
                <w:sz w:val="22"/>
              </w:rPr>
              <w:t>$5,000,000</w:t>
            </w:r>
          </w:p>
          <w:p w14:paraId="1F739498" w14:textId="77777777" w:rsidR="001775A0" w:rsidRDefault="001775A0" w:rsidP="006978D8">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22"/>
              </w:rPr>
            </w:pPr>
          </w:p>
          <w:p w14:paraId="10C7A1D1" w14:textId="3973F4D5" w:rsidR="001775A0" w:rsidRDefault="001775A0" w:rsidP="006978D8">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rPr>
            </w:pPr>
            <w:r>
              <w:rPr>
                <w:rFonts w:ascii="Aptos Narrow" w:hAnsi="Aptos Narrow"/>
                <w:color w:val="000000"/>
                <w:sz w:val="22"/>
              </w:rPr>
              <w:t>2024 – 2027</w:t>
            </w:r>
          </w:p>
          <w:p w14:paraId="6F02612A" w14:textId="77777777" w:rsidR="00F641FA" w:rsidRPr="00F641FA" w:rsidRDefault="00F641FA"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p>
        </w:tc>
        <w:tc>
          <w:tcPr>
            <w:tcW w:w="1257" w:type="dxa"/>
            <w:tcBorders>
              <w:top w:val="single" w:sz="4" w:space="0" w:color="auto"/>
              <w:bottom w:val="single" w:sz="4" w:space="0" w:color="auto"/>
            </w:tcBorders>
          </w:tcPr>
          <w:p w14:paraId="49567833" w14:textId="3CCCBA6A" w:rsidR="00F641FA" w:rsidRPr="00F641FA" w:rsidRDefault="001775A0"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Pr>
                <w:rFonts w:asciiTheme="majorHAnsi" w:hAnsiTheme="majorHAnsi" w:cstheme="majorHAnsi"/>
                <w:bCs/>
                <w:sz w:val="20"/>
                <w:szCs w:val="20"/>
                <w:lang w:val="en-US"/>
              </w:rPr>
              <w:t>Ongoing</w:t>
            </w:r>
          </w:p>
        </w:tc>
      </w:tr>
      <w:tr w:rsidR="00C45DD1" w:rsidRPr="006E00DA" w14:paraId="732ECA32" w14:textId="0EFEEAB0" w:rsidTr="00011D21">
        <w:tc>
          <w:tcPr>
            <w:cnfStyle w:val="001000000000" w:firstRow="0" w:lastRow="0" w:firstColumn="1" w:lastColumn="0" w:oddVBand="0" w:evenVBand="0" w:oddHBand="0" w:evenHBand="0" w:firstRowFirstColumn="0" w:firstRowLastColumn="0" w:lastRowFirstColumn="0" w:lastRowLastColumn="0"/>
            <w:tcW w:w="622" w:type="dxa"/>
            <w:tcBorders>
              <w:top w:val="single" w:sz="4" w:space="0" w:color="auto"/>
              <w:bottom w:val="single" w:sz="4" w:space="0" w:color="auto"/>
            </w:tcBorders>
          </w:tcPr>
          <w:p w14:paraId="39CE9B8A" w14:textId="744287DF" w:rsidR="00167056" w:rsidRPr="009C2DDC" w:rsidRDefault="00B1755A" w:rsidP="006978D8">
            <w:pPr>
              <w:spacing w:line="276" w:lineRule="auto"/>
              <w:rPr>
                <w:rFonts w:asciiTheme="majorHAnsi" w:hAnsiTheme="majorHAnsi" w:cstheme="majorHAnsi"/>
                <w:sz w:val="20"/>
                <w:szCs w:val="20"/>
              </w:rPr>
            </w:pPr>
            <w:r>
              <w:rPr>
                <w:rFonts w:asciiTheme="majorHAnsi" w:hAnsiTheme="majorHAnsi" w:cstheme="majorHAnsi"/>
                <w:sz w:val="20"/>
                <w:szCs w:val="20"/>
              </w:rPr>
              <w:t>5</w:t>
            </w:r>
          </w:p>
        </w:tc>
        <w:tc>
          <w:tcPr>
            <w:tcW w:w="1183" w:type="dxa"/>
            <w:tcBorders>
              <w:top w:val="single" w:sz="4" w:space="0" w:color="auto"/>
              <w:bottom w:val="single" w:sz="4" w:space="0" w:color="auto"/>
            </w:tcBorders>
          </w:tcPr>
          <w:p w14:paraId="4631C943" w14:textId="1092FA6A" w:rsidR="00167056" w:rsidRPr="009C2DDC" w:rsidRDefault="00225F22"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lang w:val="en-US"/>
              </w:rPr>
              <w:t>TBC</w:t>
            </w:r>
          </w:p>
        </w:tc>
        <w:tc>
          <w:tcPr>
            <w:tcW w:w="1911" w:type="dxa"/>
            <w:tcBorders>
              <w:top w:val="single" w:sz="4" w:space="0" w:color="auto"/>
              <w:bottom w:val="single" w:sz="4" w:space="0" w:color="auto"/>
            </w:tcBorders>
          </w:tcPr>
          <w:p w14:paraId="346A61D1" w14:textId="605AD711" w:rsidR="00E45A66" w:rsidRDefault="00E45A6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E45A66">
              <w:rPr>
                <w:rFonts w:asciiTheme="majorHAnsi" w:hAnsiTheme="majorHAnsi" w:cstheme="majorHAnsi"/>
                <w:bCs/>
                <w:sz w:val="20"/>
                <w:szCs w:val="20"/>
                <w:lang w:val="en-US"/>
              </w:rPr>
              <w:t>Professional Driving School for Women</w:t>
            </w:r>
          </w:p>
          <w:p w14:paraId="51E89B66" w14:textId="77777777" w:rsidR="00E45A66" w:rsidRDefault="00E45A6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p>
          <w:p w14:paraId="00656003" w14:textId="61A3545F"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Solomon Islands Professional Driver Training School (SIPDTS)</w:t>
            </w:r>
          </w:p>
          <w:p w14:paraId="7F02D7CB" w14:textId="726B93E6"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p>
        </w:tc>
        <w:tc>
          <w:tcPr>
            <w:tcW w:w="3370" w:type="dxa"/>
            <w:tcBorders>
              <w:top w:val="single" w:sz="4" w:space="0" w:color="auto"/>
              <w:bottom w:val="single" w:sz="4" w:space="0" w:color="auto"/>
            </w:tcBorders>
          </w:tcPr>
          <w:p w14:paraId="2B1D7963" w14:textId="1374F84F"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rPr>
              <w:t>The project aims to enhance road safety and create economic opportunities through driver training. It focuses on empowering women and partnering with corporate organisations to provide tailored training. By helping women reduce transport costs and improve personal safety, the project supports greater independence. With an expanded fleet and staff capacity, SIPDTS is well-positioned to meet growing demand while promoting safer roads and improved livelihoods.</w:t>
            </w:r>
          </w:p>
        </w:tc>
        <w:tc>
          <w:tcPr>
            <w:tcW w:w="1388" w:type="dxa"/>
            <w:tcBorders>
              <w:top w:val="single" w:sz="4" w:space="0" w:color="auto"/>
              <w:bottom w:val="single" w:sz="4" w:space="0" w:color="auto"/>
            </w:tcBorders>
          </w:tcPr>
          <w:p w14:paraId="32B8CC99" w14:textId="77777777"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$45,054</w:t>
            </w:r>
          </w:p>
          <w:p w14:paraId="768DCD3D" w14:textId="77777777"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p>
          <w:p w14:paraId="39079E30" w14:textId="57BC9EA5" w:rsidR="00167056" w:rsidRPr="009C2DDC" w:rsidRDefault="00343B1A"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Pr>
                <w:rFonts w:asciiTheme="majorHAnsi" w:hAnsiTheme="majorHAnsi" w:cstheme="majorHAnsi"/>
                <w:bCs/>
                <w:sz w:val="20"/>
                <w:szCs w:val="20"/>
                <w:lang w:val="en-US"/>
              </w:rPr>
              <w:t xml:space="preserve">2022 – </w:t>
            </w:r>
            <w:r w:rsidR="00167056" w:rsidRPr="009C2DDC">
              <w:rPr>
                <w:rFonts w:asciiTheme="majorHAnsi" w:hAnsiTheme="majorHAnsi" w:cstheme="majorHAnsi"/>
                <w:bCs/>
                <w:sz w:val="20"/>
                <w:szCs w:val="20"/>
                <w:lang w:val="en-US"/>
              </w:rPr>
              <w:t>2023</w:t>
            </w:r>
          </w:p>
          <w:p w14:paraId="31B3A648" w14:textId="77777777"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p>
          <w:p w14:paraId="24C6A182" w14:textId="5CC0531C"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
                <w:iCs/>
                <w:sz w:val="20"/>
                <w:szCs w:val="20"/>
                <w:lang w:val="en-US"/>
              </w:rPr>
            </w:pPr>
          </w:p>
        </w:tc>
        <w:tc>
          <w:tcPr>
            <w:tcW w:w="1257" w:type="dxa"/>
            <w:tcBorders>
              <w:top w:val="single" w:sz="4" w:space="0" w:color="auto"/>
              <w:bottom w:val="single" w:sz="4" w:space="0" w:color="auto"/>
            </w:tcBorders>
          </w:tcPr>
          <w:p w14:paraId="647E1290" w14:textId="594152EE" w:rsidR="00167056" w:rsidRPr="009C2DDC" w:rsidRDefault="00431E20"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Completed</w:t>
            </w:r>
          </w:p>
        </w:tc>
      </w:tr>
      <w:tr w:rsidR="00C45DD1" w:rsidRPr="006E00DA" w14:paraId="71016543" w14:textId="6E688EF6" w:rsidTr="00011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tcBorders>
              <w:top w:val="single" w:sz="4" w:space="0" w:color="auto"/>
              <w:bottom w:val="single" w:sz="4" w:space="0" w:color="auto"/>
            </w:tcBorders>
          </w:tcPr>
          <w:p w14:paraId="6639E0D7" w14:textId="48C25ACF" w:rsidR="00167056" w:rsidRDefault="00627CD6" w:rsidP="006978D8">
            <w:pPr>
              <w:spacing w:line="276" w:lineRule="auto"/>
              <w:rPr>
                <w:rFonts w:asciiTheme="majorHAnsi" w:hAnsiTheme="majorHAnsi" w:cstheme="majorHAnsi"/>
                <w:bCs w:val="0"/>
                <w:sz w:val="20"/>
                <w:szCs w:val="20"/>
              </w:rPr>
            </w:pPr>
            <w:r>
              <w:rPr>
                <w:rFonts w:asciiTheme="majorHAnsi" w:hAnsiTheme="majorHAnsi" w:cstheme="majorHAnsi"/>
                <w:sz w:val="20"/>
                <w:szCs w:val="20"/>
              </w:rPr>
              <w:t>6</w:t>
            </w:r>
          </w:p>
          <w:p w14:paraId="6C82F429" w14:textId="38E1C115" w:rsidR="00C45DD1" w:rsidRPr="009C2DDC" w:rsidRDefault="00C45DD1" w:rsidP="006978D8">
            <w:pPr>
              <w:rPr>
                <w:rFonts w:asciiTheme="majorHAnsi" w:hAnsiTheme="majorHAnsi" w:cstheme="majorHAnsi"/>
                <w:sz w:val="20"/>
                <w:szCs w:val="20"/>
              </w:rPr>
            </w:pPr>
          </w:p>
        </w:tc>
        <w:tc>
          <w:tcPr>
            <w:tcW w:w="1183" w:type="dxa"/>
            <w:tcBorders>
              <w:top w:val="single" w:sz="4" w:space="0" w:color="auto"/>
              <w:bottom w:val="single" w:sz="4" w:space="0" w:color="auto"/>
            </w:tcBorders>
          </w:tcPr>
          <w:p w14:paraId="29BBCE8A"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76800</w:t>
            </w:r>
          </w:p>
          <w:p w14:paraId="76DDBDB4"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tc>
        <w:tc>
          <w:tcPr>
            <w:tcW w:w="1911" w:type="dxa"/>
            <w:tcBorders>
              <w:top w:val="single" w:sz="4" w:space="0" w:color="auto"/>
              <w:bottom w:val="single" w:sz="4" w:space="0" w:color="auto"/>
            </w:tcBorders>
          </w:tcPr>
          <w:p w14:paraId="70D15912" w14:textId="03A9BE70" w:rsidR="00841D5A"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 xml:space="preserve">Solomon Islands Women in Business </w:t>
            </w:r>
          </w:p>
          <w:p w14:paraId="6B161FFE" w14:textId="77777777" w:rsidR="001F45FD" w:rsidRDefault="001F45FD"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p>
          <w:p w14:paraId="33C3A97D" w14:textId="23DE709B"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w:t>
            </w:r>
            <w:r w:rsidR="001F45FD">
              <w:rPr>
                <w:rFonts w:asciiTheme="majorHAnsi" w:hAnsiTheme="majorHAnsi" w:cstheme="majorHAnsi"/>
                <w:bCs/>
                <w:sz w:val="20"/>
                <w:szCs w:val="20"/>
                <w:lang w:val="en-US"/>
              </w:rPr>
              <w:t>Solomon Islands Women in Business Association (</w:t>
            </w:r>
            <w:r w:rsidRPr="009C2DDC">
              <w:rPr>
                <w:rFonts w:asciiTheme="majorHAnsi" w:hAnsiTheme="majorHAnsi" w:cstheme="majorHAnsi"/>
                <w:bCs/>
                <w:sz w:val="20"/>
                <w:szCs w:val="20"/>
                <w:lang w:val="en-US"/>
              </w:rPr>
              <w:t>SWIBA)</w:t>
            </w:r>
            <w:r w:rsidR="001F45FD">
              <w:rPr>
                <w:rFonts w:asciiTheme="majorHAnsi" w:hAnsiTheme="majorHAnsi" w:cstheme="majorHAnsi"/>
                <w:bCs/>
                <w:sz w:val="20"/>
                <w:szCs w:val="20"/>
                <w:lang w:val="en-US"/>
              </w:rPr>
              <w:t>)</w:t>
            </w:r>
          </w:p>
        </w:tc>
        <w:tc>
          <w:tcPr>
            <w:tcW w:w="3370" w:type="dxa"/>
            <w:tcBorders>
              <w:top w:val="single" w:sz="4" w:space="0" w:color="auto"/>
              <w:bottom w:val="single" w:sz="4" w:space="0" w:color="auto"/>
            </w:tcBorders>
          </w:tcPr>
          <w:p w14:paraId="7449E711" w14:textId="0316C760"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The project aims to empower women in the Solomon Islands by enhancing their economic participation and entrepreneurial skills. The project focuses on capacity building, market access, and strengthening business acumen to improve women's financial independence and overall wellbeing.</w:t>
            </w:r>
          </w:p>
        </w:tc>
        <w:tc>
          <w:tcPr>
            <w:tcW w:w="1388" w:type="dxa"/>
            <w:tcBorders>
              <w:top w:val="single" w:sz="4" w:space="0" w:color="auto"/>
              <w:bottom w:val="single" w:sz="4" w:space="0" w:color="auto"/>
            </w:tcBorders>
          </w:tcPr>
          <w:p w14:paraId="3D966122"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w:t>
            </w:r>
            <w:r w:rsidRPr="009C2DDC">
              <w:rPr>
                <w:rFonts w:asciiTheme="majorHAnsi" w:hAnsiTheme="majorHAnsi" w:cstheme="majorHAnsi"/>
                <w:bCs/>
                <w:sz w:val="20"/>
                <w:szCs w:val="20"/>
              </w:rPr>
              <w:t>60,000</w:t>
            </w:r>
          </w:p>
          <w:p w14:paraId="4D193423"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p>
          <w:p w14:paraId="5AF1F3F0" w14:textId="7DC58CED"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2021</w:t>
            </w:r>
            <w:r w:rsidR="00890344">
              <w:rPr>
                <w:rFonts w:asciiTheme="majorHAnsi" w:hAnsiTheme="majorHAnsi" w:cstheme="majorHAnsi"/>
                <w:bCs/>
                <w:sz w:val="20"/>
                <w:szCs w:val="20"/>
                <w:lang w:val="en-US"/>
              </w:rPr>
              <w:t xml:space="preserve"> </w:t>
            </w:r>
            <w:r w:rsidRPr="009C2DDC">
              <w:rPr>
                <w:rFonts w:asciiTheme="majorHAnsi" w:hAnsiTheme="majorHAnsi" w:cstheme="majorHAnsi"/>
                <w:bCs/>
                <w:sz w:val="20"/>
                <w:szCs w:val="20"/>
                <w:lang w:val="en-US"/>
              </w:rPr>
              <w:t>–</w:t>
            </w:r>
            <w:r w:rsidR="00890344">
              <w:rPr>
                <w:rFonts w:asciiTheme="majorHAnsi" w:hAnsiTheme="majorHAnsi" w:cstheme="majorHAnsi"/>
                <w:bCs/>
                <w:sz w:val="20"/>
                <w:szCs w:val="20"/>
                <w:lang w:val="en-US"/>
              </w:rPr>
              <w:t xml:space="preserve"> </w:t>
            </w:r>
            <w:r w:rsidRPr="009C2DDC">
              <w:rPr>
                <w:rFonts w:asciiTheme="majorHAnsi" w:hAnsiTheme="majorHAnsi" w:cstheme="majorHAnsi"/>
                <w:bCs/>
                <w:sz w:val="20"/>
                <w:szCs w:val="20"/>
                <w:lang w:val="en-US"/>
              </w:rPr>
              <w:t>2023</w:t>
            </w:r>
          </w:p>
          <w:p w14:paraId="3BC3F1CF"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p>
          <w:p w14:paraId="52325C07"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p>
        </w:tc>
        <w:tc>
          <w:tcPr>
            <w:tcW w:w="1257" w:type="dxa"/>
            <w:tcBorders>
              <w:top w:val="single" w:sz="4" w:space="0" w:color="auto"/>
              <w:bottom w:val="single" w:sz="4" w:space="0" w:color="auto"/>
            </w:tcBorders>
          </w:tcPr>
          <w:p w14:paraId="1F67AC0B" w14:textId="77777777" w:rsidR="00225F22" w:rsidRPr="009C2DDC" w:rsidRDefault="00225F22"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Completed</w:t>
            </w:r>
          </w:p>
          <w:p w14:paraId="3C417838"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p>
        </w:tc>
      </w:tr>
      <w:tr w:rsidR="00C45DD1" w:rsidRPr="006E00DA" w14:paraId="5E6BFC40" w14:textId="2EA5CEEC" w:rsidTr="00011D21">
        <w:tc>
          <w:tcPr>
            <w:cnfStyle w:val="001000000000" w:firstRow="0" w:lastRow="0" w:firstColumn="1" w:lastColumn="0" w:oddVBand="0" w:evenVBand="0" w:oddHBand="0" w:evenHBand="0" w:firstRowFirstColumn="0" w:firstRowLastColumn="0" w:lastRowFirstColumn="0" w:lastRowLastColumn="0"/>
            <w:tcW w:w="622" w:type="dxa"/>
            <w:tcBorders>
              <w:top w:val="single" w:sz="4" w:space="0" w:color="auto"/>
              <w:bottom w:val="single" w:sz="4" w:space="0" w:color="auto"/>
            </w:tcBorders>
          </w:tcPr>
          <w:p w14:paraId="584F4C3E" w14:textId="76C51768" w:rsidR="00167056" w:rsidRPr="009C2DDC" w:rsidRDefault="00627CD6" w:rsidP="006978D8">
            <w:pPr>
              <w:spacing w:line="276" w:lineRule="auto"/>
              <w:rPr>
                <w:rFonts w:asciiTheme="majorHAnsi" w:hAnsiTheme="majorHAnsi" w:cstheme="majorHAnsi"/>
                <w:sz w:val="20"/>
                <w:szCs w:val="20"/>
              </w:rPr>
            </w:pPr>
            <w:r>
              <w:rPr>
                <w:rFonts w:asciiTheme="majorHAnsi" w:hAnsiTheme="majorHAnsi" w:cstheme="majorHAnsi"/>
                <w:sz w:val="20"/>
                <w:szCs w:val="20"/>
              </w:rPr>
              <w:t>7</w:t>
            </w:r>
          </w:p>
        </w:tc>
        <w:tc>
          <w:tcPr>
            <w:tcW w:w="1183" w:type="dxa"/>
            <w:tcBorders>
              <w:top w:val="single" w:sz="4" w:space="0" w:color="auto"/>
              <w:bottom w:val="single" w:sz="4" w:space="0" w:color="auto"/>
            </w:tcBorders>
          </w:tcPr>
          <w:p w14:paraId="752CD6D7" w14:textId="7C9A1B5E" w:rsidR="00167056" w:rsidRPr="009C2DDC" w:rsidRDefault="00225F22"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lang w:val="en-US"/>
              </w:rPr>
              <w:t>TBC</w:t>
            </w:r>
          </w:p>
        </w:tc>
        <w:tc>
          <w:tcPr>
            <w:tcW w:w="1911" w:type="dxa"/>
            <w:tcBorders>
              <w:top w:val="single" w:sz="4" w:space="0" w:color="auto"/>
              <w:bottom w:val="single" w:sz="4" w:space="0" w:color="auto"/>
            </w:tcBorders>
          </w:tcPr>
          <w:p w14:paraId="65DF138E" w14:textId="77777777" w:rsidR="00225F22"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 xml:space="preserve">Supporting the Ministry of Women, Youth, Children and Family Affairs </w:t>
            </w:r>
          </w:p>
          <w:p w14:paraId="7992F2A7" w14:textId="16376309"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(MWYCFA)</w:t>
            </w:r>
          </w:p>
          <w:p w14:paraId="01B76935" w14:textId="77777777"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p>
          <w:p w14:paraId="543ADAA9" w14:textId="2AC907EB"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(DT Global, through Australia Solomon Islands Resource Facility)</w:t>
            </w:r>
          </w:p>
        </w:tc>
        <w:tc>
          <w:tcPr>
            <w:tcW w:w="3370" w:type="dxa"/>
            <w:tcBorders>
              <w:top w:val="single" w:sz="4" w:space="0" w:color="auto"/>
              <w:bottom w:val="single" w:sz="4" w:space="0" w:color="auto"/>
            </w:tcBorders>
          </w:tcPr>
          <w:p w14:paraId="70E3563D" w14:textId="6B5FFA3E"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rPr>
              <w:t>The project is supporting the MWYCFA in its role of coordinating gender equality policy and implementation across the Solomon Islands Government. This includes providing research, developing policies, assessing the gendered impacts of COVID-19, and undertaking activities linked to the review of the Family Protection Act 2014. Support is provided through technical assistance, core funding for staff, and flexible funding for activities identified throughout the year.</w:t>
            </w:r>
          </w:p>
        </w:tc>
        <w:tc>
          <w:tcPr>
            <w:tcW w:w="1388" w:type="dxa"/>
            <w:tcBorders>
              <w:top w:val="single" w:sz="4" w:space="0" w:color="auto"/>
              <w:bottom w:val="single" w:sz="4" w:space="0" w:color="auto"/>
            </w:tcBorders>
          </w:tcPr>
          <w:p w14:paraId="1CD668FF" w14:textId="77777777"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$3,070,645</w:t>
            </w:r>
          </w:p>
          <w:p w14:paraId="6886C418" w14:textId="77777777"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p>
          <w:p w14:paraId="151DB52C" w14:textId="5C3967D3"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202</w:t>
            </w:r>
            <w:r w:rsidR="007E3E6B">
              <w:rPr>
                <w:rFonts w:asciiTheme="majorHAnsi" w:hAnsiTheme="majorHAnsi" w:cstheme="majorHAnsi"/>
                <w:bCs/>
                <w:sz w:val="20"/>
                <w:szCs w:val="20"/>
                <w:lang w:val="en-US"/>
              </w:rPr>
              <w:t xml:space="preserve">1 </w:t>
            </w:r>
            <w:r w:rsidRPr="00D556D9">
              <w:rPr>
                <w:rFonts w:asciiTheme="majorHAnsi" w:hAnsiTheme="majorHAnsi" w:cstheme="majorHAnsi"/>
                <w:bCs/>
                <w:sz w:val="20"/>
                <w:szCs w:val="20"/>
                <w:lang w:val="en-US"/>
              </w:rPr>
              <w:t>–</w:t>
            </w:r>
            <w:r w:rsidR="006021FD">
              <w:rPr>
                <w:rFonts w:asciiTheme="majorHAnsi" w:hAnsiTheme="majorHAnsi" w:cstheme="majorHAnsi"/>
                <w:bCs/>
                <w:sz w:val="20"/>
                <w:szCs w:val="20"/>
                <w:lang w:val="en-US"/>
              </w:rPr>
              <w:t xml:space="preserve"> </w:t>
            </w:r>
            <w:r w:rsidRPr="009C2DDC">
              <w:rPr>
                <w:rFonts w:asciiTheme="majorHAnsi" w:hAnsiTheme="majorHAnsi" w:cstheme="majorHAnsi"/>
                <w:bCs/>
                <w:sz w:val="20"/>
                <w:szCs w:val="20"/>
                <w:lang w:val="en-US"/>
              </w:rPr>
              <w:t>2023</w:t>
            </w:r>
          </w:p>
          <w:p w14:paraId="4B082ABC" w14:textId="77777777"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p>
          <w:p w14:paraId="5C7061FD" w14:textId="4725B090" w:rsidR="00167056" w:rsidRPr="009C2DDC" w:rsidRDefault="00167056"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i/>
                <w:iCs/>
                <w:sz w:val="20"/>
                <w:szCs w:val="20"/>
                <w:lang w:val="en-US"/>
              </w:rPr>
            </w:pPr>
          </w:p>
        </w:tc>
        <w:tc>
          <w:tcPr>
            <w:tcW w:w="1257" w:type="dxa"/>
            <w:tcBorders>
              <w:top w:val="single" w:sz="4" w:space="0" w:color="auto"/>
              <w:bottom w:val="single" w:sz="4" w:space="0" w:color="auto"/>
            </w:tcBorders>
          </w:tcPr>
          <w:p w14:paraId="2A0006E8" w14:textId="0BF35ADC" w:rsidR="00167056" w:rsidRPr="009C2DDC" w:rsidRDefault="00225F22"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Completed</w:t>
            </w:r>
          </w:p>
        </w:tc>
      </w:tr>
      <w:tr w:rsidR="00C45DD1" w:rsidRPr="006E00DA" w14:paraId="724A6B0B" w14:textId="2169756D" w:rsidTr="00011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tcBorders>
              <w:top w:val="single" w:sz="4" w:space="0" w:color="auto"/>
              <w:bottom w:val="nil"/>
            </w:tcBorders>
          </w:tcPr>
          <w:p w14:paraId="5157094F" w14:textId="2FF54802" w:rsidR="00167056" w:rsidRPr="009C2DDC" w:rsidRDefault="00627CD6" w:rsidP="006978D8">
            <w:pPr>
              <w:spacing w:line="276" w:lineRule="auto"/>
              <w:rPr>
                <w:rFonts w:asciiTheme="majorHAnsi" w:hAnsiTheme="majorHAnsi" w:cstheme="majorHAnsi"/>
                <w:sz w:val="20"/>
                <w:szCs w:val="20"/>
              </w:rPr>
            </w:pPr>
            <w:r>
              <w:rPr>
                <w:rFonts w:asciiTheme="majorHAnsi" w:hAnsiTheme="majorHAnsi" w:cstheme="majorHAnsi"/>
                <w:sz w:val="20"/>
                <w:szCs w:val="20"/>
              </w:rPr>
              <w:t>8</w:t>
            </w:r>
          </w:p>
        </w:tc>
        <w:tc>
          <w:tcPr>
            <w:tcW w:w="1183" w:type="dxa"/>
            <w:tcBorders>
              <w:top w:val="single" w:sz="4" w:space="0" w:color="auto"/>
            </w:tcBorders>
          </w:tcPr>
          <w:p w14:paraId="46FF3FBF"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76845</w:t>
            </w:r>
          </w:p>
          <w:p w14:paraId="130CF1A5"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p>
        </w:tc>
        <w:tc>
          <w:tcPr>
            <w:tcW w:w="1911" w:type="dxa"/>
            <w:tcBorders>
              <w:top w:val="single" w:sz="4" w:space="0" w:color="auto"/>
            </w:tcBorders>
          </w:tcPr>
          <w:p w14:paraId="493D5E40" w14:textId="277835DC"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Women Ignite Stability and Economic Recovery in Solomon Islands (WISER)</w:t>
            </w:r>
            <w:r w:rsidR="00D50AF4">
              <w:rPr>
                <w:rFonts w:asciiTheme="majorHAnsi" w:hAnsiTheme="majorHAnsi" w:cstheme="majorHAnsi"/>
                <w:bCs/>
                <w:sz w:val="20"/>
                <w:szCs w:val="20"/>
                <w:lang w:val="en-US"/>
              </w:rPr>
              <w:t xml:space="preserve"> Phase 1</w:t>
            </w:r>
          </w:p>
          <w:p w14:paraId="76195B35"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p>
          <w:p w14:paraId="52558B40" w14:textId="0AD19D13"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lastRenderedPageBreak/>
              <w:t>(</w:t>
            </w:r>
            <w:r w:rsidR="008377C7" w:rsidRPr="009C2DDC">
              <w:rPr>
                <w:rFonts w:asciiTheme="majorHAnsi" w:hAnsiTheme="majorHAnsi" w:cstheme="majorHAnsi"/>
                <w:bCs/>
                <w:sz w:val="20"/>
                <w:szCs w:val="20"/>
                <w:lang w:val="en-US"/>
              </w:rPr>
              <w:t xml:space="preserve">International Women’s Development Division - </w:t>
            </w:r>
            <w:r w:rsidRPr="009C2DDC">
              <w:rPr>
                <w:rFonts w:asciiTheme="majorHAnsi" w:hAnsiTheme="majorHAnsi" w:cstheme="majorHAnsi"/>
                <w:bCs/>
                <w:sz w:val="20"/>
                <w:szCs w:val="20"/>
                <w:lang w:val="en-US"/>
              </w:rPr>
              <w:t xml:space="preserve">Women’s Rights Action Movement) </w:t>
            </w:r>
          </w:p>
          <w:p w14:paraId="729F0787"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p>
        </w:tc>
        <w:tc>
          <w:tcPr>
            <w:tcW w:w="3370" w:type="dxa"/>
            <w:tcBorders>
              <w:top w:val="single" w:sz="4" w:space="0" w:color="auto"/>
            </w:tcBorders>
          </w:tcPr>
          <w:p w14:paraId="59F0B5E9" w14:textId="5510ED96"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C2DDC">
              <w:rPr>
                <w:rFonts w:asciiTheme="majorHAnsi" w:hAnsiTheme="majorHAnsi" w:cstheme="majorHAnsi"/>
                <w:sz w:val="20"/>
                <w:szCs w:val="20"/>
              </w:rPr>
              <w:lastRenderedPageBreak/>
              <w:t xml:space="preserve">The project aims to enhance young women's leadership skills, advocate for Temporary Special Measures (TSM) to boost women's political participation and improve the inclusion of women with disabilities. WRAM’s efforts have </w:t>
            </w:r>
            <w:r w:rsidRPr="009C2DDC">
              <w:rPr>
                <w:rFonts w:asciiTheme="majorHAnsi" w:hAnsiTheme="majorHAnsi" w:cstheme="majorHAnsi"/>
                <w:sz w:val="20"/>
                <w:szCs w:val="20"/>
              </w:rPr>
              <w:lastRenderedPageBreak/>
              <w:t>influenced legislative reforms, contributed to CEDAW reporting, and strengthened collaboration between civil society and government, driving sustained progress toward gender equality and women’s leadership in the Solomon Islands.</w:t>
            </w:r>
          </w:p>
        </w:tc>
        <w:tc>
          <w:tcPr>
            <w:tcW w:w="1388" w:type="dxa"/>
            <w:tcBorders>
              <w:top w:val="single" w:sz="4" w:space="0" w:color="auto"/>
            </w:tcBorders>
          </w:tcPr>
          <w:p w14:paraId="4947CE35"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lastRenderedPageBreak/>
              <w:t>$</w:t>
            </w:r>
            <w:r w:rsidRPr="009C2DDC">
              <w:rPr>
                <w:rFonts w:asciiTheme="majorHAnsi" w:hAnsiTheme="majorHAnsi" w:cstheme="majorHAnsi"/>
                <w:bCs/>
                <w:sz w:val="20"/>
                <w:szCs w:val="20"/>
              </w:rPr>
              <w:t>942,207</w:t>
            </w:r>
          </w:p>
          <w:p w14:paraId="62BEA703"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p>
          <w:p w14:paraId="4719FD2C" w14:textId="6DC138EC"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2021</w:t>
            </w:r>
            <w:r w:rsidR="00D50AF4">
              <w:rPr>
                <w:rFonts w:asciiTheme="majorHAnsi" w:hAnsiTheme="majorHAnsi" w:cstheme="majorHAnsi"/>
                <w:bCs/>
                <w:sz w:val="20"/>
                <w:szCs w:val="20"/>
                <w:lang w:val="en-US"/>
              </w:rPr>
              <w:t xml:space="preserve"> </w:t>
            </w:r>
            <w:r w:rsidRPr="009C2DDC">
              <w:rPr>
                <w:rFonts w:asciiTheme="majorHAnsi" w:hAnsiTheme="majorHAnsi" w:cstheme="majorHAnsi"/>
                <w:bCs/>
                <w:sz w:val="20"/>
                <w:szCs w:val="20"/>
                <w:lang w:val="en-US"/>
              </w:rPr>
              <w:t>–</w:t>
            </w:r>
            <w:r w:rsidR="00D50AF4">
              <w:rPr>
                <w:rFonts w:asciiTheme="majorHAnsi" w:hAnsiTheme="majorHAnsi" w:cstheme="majorHAnsi"/>
                <w:bCs/>
                <w:sz w:val="20"/>
                <w:szCs w:val="20"/>
                <w:lang w:val="en-US"/>
              </w:rPr>
              <w:t xml:space="preserve"> </w:t>
            </w:r>
            <w:r w:rsidRPr="009C2DDC">
              <w:rPr>
                <w:rFonts w:asciiTheme="majorHAnsi" w:hAnsiTheme="majorHAnsi" w:cstheme="majorHAnsi"/>
                <w:bCs/>
                <w:sz w:val="20"/>
                <w:szCs w:val="20"/>
                <w:lang w:val="en-US"/>
              </w:rPr>
              <w:t>2023</w:t>
            </w:r>
          </w:p>
          <w:p w14:paraId="34EC8658"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p>
          <w:p w14:paraId="027F8CD5" w14:textId="6A7AC6F6"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
                <w:iCs/>
                <w:sz w:val="20"/>
                <w:szCs w:val="20"/>
                <w:lang w:val="en-US"/>
              </w:rPr>
            </w:pPr>
          </w:p>
        </w:tc>
        <w:tc>
          <w:tcPr>
            <w:tcW w:w="1257" w:type="dxa"/>
            <w:tcBorders>
              <w:top w:val="single" w:sz="4" w:space="0" w:color="auto"/>
            </w:tcBorders>
          </w:tcPr>
          <w:p w14:paraId="65CAA8DF" w14:textId="032FC701" w:rsidR="00167056" w:rsidRPr="009C2DDC" w:rsidRDefault="000E6ECE"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Completed</w:t>
            </w:r>
          </w:p>
        </w:tc>
      </w:tr>
      <w:tr w:rsidR="00C45DD1" w:rsidRPr="006E00DA" w14:paraId="349F0BF4" w14:textId="77777777" w:rsidTr="00011D21">
        <w:tc>
          <w:tcPr>
            <w:cnfStyle w:val="001000000000" w:firstRow="0" w:lastRow="0" w:firstColumn="1" w:lastColumn="0" w:oddVBand="0" w:evenVBand="0" w:oddHBand="0" w:evenHBand="0" w:firstRowFirstColumn="0" w:firstRowLastColumn="0" w:lastRowFirstColumn="0" w:lastRowLastColumn="0"/>
            <w:tcW w:w="622" w:type="dxa"/>
            <w:tcBorders>
              <w:top w:val="nil"/>
              <w:bottom w:val="single" w:sz="4" w:space="0" w:color="auto"/>
            </w:tcBorders>
          </w:tcPr>
          <w:p w14:paraId="658E8C30" w14:textId="1115A4C1" w:rsidR="0010181E" w:rsidRPr="009C2DDC" w:rsidRDefault="00F7332B" w:rsidP="006978D8">
            <w:pPr>
              <w:spacing w:line="276" w:lineRule="auto"/>
              <w:rPr>
                <w:rFonts w:asciiTheme="majorHAnsi" w:hAnsiTheme="majorHAnsi" w:cstheme="majorHAnsi"/>
                <w:bCs w:val="0"/>
                <w:sz w:val="20"/>
                <w:szCs w:val="20"/>
              </w:rPr>
            </w:pPr>
            <w:r w:rsidRPr="009C2DDC">
              <w:rPr>
                <w:rFonts w:asciiTheme="majorHAnsi" w:hAnsiTheme="majorHAnsi" w:cstheme="majorHAnsi"/>
                <w:sz w:val="20"/>
                <w:szCs w:val="20"/>
              </w:rPr>
              <w:tab/>
            </w:r>
          </w:p>
          <w:p w14:paraId="0E9F13A8" w14:textId="1D166C34" w:rsidR="00F7332B" w:rsidRPr="009C2DDC" w:rsidRDefault="00F7332B" w:rsidP="006978D8">
            <w:pPr>
              <w:spacing w:line="276" w:lineRule="auto"/>
              <w:rPr>
                <w:rFonts w:asciiTheme="majorHAnsi" w:hAnsiTheme="majorHAnsi" w:cstheme="majorHAnsi"/>
                <w:sz w:val="20"/>
                <w:szCs w:val="20"/>
              </w:rPr>
            </w:pPr>
          </w:p>
        </w:tc>
        <w:tc>
          <w:tcPr>
            <w:tcW w:w="1183" w:type="dxa"/>
            <w:tcBorders>
              <w:bottom w:val="single" w:sz="4" w:space="0" w:color="auto"/>
            </w:tcBorders>
          </w:tcPr>
          <w:p w14:paraId="07C1C8A2" w14:textId="19062A29" w:rsidR="00F7332B" w:rsidRPr="009C2DDC" w:rsidRDefault="002A0D38" w:rsidP="006978D8">
            <w:pPr>
              <w:tabs>
                <w:tab w:val="left" w:pos="868"/>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Pr>
                <w:rFonts w:asciiTheme="majorHAnsi" w:hAnsiTheme="majorHAnsi" w:cstheme="majorHAnsi"/>
                <w:bCs/>
                <w:sz w:val="20"/>
                <w:szCs w:val="20"/>
              </w:rPr>
              <w:t>80136</w:t>
            </w:r>
          </w:p>
        </w:tc>
        <w:tc>
          <w:tcPr>
            <w:tcW w:w="1911" w:type="dxa"/>
            <w:tcBorders>
              <w:bottom w:val="single" w:sz="4" w:space="0" w:color="auto"/>
            </w:tcBorders>
          </w:tcPr>
          <w:p w14:paraId="42A3F175" w14:textId="77777777" w:rsidR="00E038ED" w:rsidRPr="009C2DDC" w:rsidRDefault="0010181E"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Women Ignite Stability and Economic Recovery in Solomon Islands (WISER) Phase 2</w:t>
            </w:r>
            <w:r w:rsidRPr="009C2DDC">
              <w:rPr>
                <w:rFonts w:asciiTheme="majorHAnsi" w:hAnsiTheme="majorHAnsi" w:cstheme="majorHAnsi"/>
                <w:sz w:val="20"/>
                <w:szCs w:val="20"/>
              </w:rPr>
              <w:tab/>
            </w:r>
          </w:p>
          <w:p w14:paraId="303AB5F6" w14:textId="22615333" w:rsidR="00F7332B" w:rsidRPr="009C2DDC" w:rsidRDefault="00E038ED"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sz w:val="20"/>
                <w:szCs w:val="20"/>
              </w:rPr>
              <w:t>(</w:t>
            </w:r>
            <w:r w:rsidR="0010181E" w:rsidRPr="009C2DDC">
              <w:rPr>
                <w:rFonts w:asciiTheme="majorHAnsi" w:hAnsiTheme="majorHAnsi" w:cstheme="majorHAnsi"/>
                <w:sz w:val="20"/>
                <w:szCs w:val="20"/>
              </w:rPr>
              <w:t>Women’s Right Action Movement</w:t>
            </w:r>
            <w:r w:rsidRPr="009C2DDC">
              <w:rPr>
                <w:rFonts w:asciiTheme="majorHAnsi" w:hAnsiTheme="majorHAnsi" w:cstheme="majorHAnsi"/>
                <w:sz w:val="20"/>
                <w:szCs w:val="20"/>
              </w:rPr>
              <w:t xml:space="preserve"> -</w:t>
            </w:r>
            <w:r w:rsidR="00597F47" w:rsidRPr="009C2DDC">
              <w:rPr>
                <w:rFonts w:asciiTheme="majorHAnsi" w:hAnsiTheme="majorHAnsi" w:cstheme="majorHAnsi"/>
                <w:sz w:val="20"/>
                <w:szCs w:val="20"/>
              </w:rPr>
              <w:t xml:space="preserve"> </w:t>
            </w:r>
            <w:r w:rsidR="0010181E" w:rsidRPr="009C2DDC">
              <w:rPr>
                <w:rFonts w:asciiTheme="majorHAnsi" w:hAnsiTheme="majorHAnsi" w:cstheme="majorHAnsi"/>
                <w:sz w:val="20"/>
                <w:szCs w:val="20"/>
              </w:rPr>
              <w:t>WRAM)</w:t>
            </w:r>
          </w:p>
        </w:tc>
        <w:tc>
          <w:tcPr>
            <w:tcW w:w="3370" w:type="dxa"/>
            <w:tcBorders>
              <w:bottom w:val="single" w:sz="4" w:space="0" w:color="auto"/>
            </w:tcBorders>
          </w:tcPr>
          <w:p w14:paraId="5763604E" w14:textId="21FB79A0" w:rsidR="00F7332B" w:rsidRPr="009C2DDC" w:rsidRDefault="00824FEE"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24FEE">
              <w:rPr>
                <w:rFonts w:asciiTheme="majorHAnsi" w:hAnsiTheme="majorHAnsi" w:cstheme="majorHAnsi"/>
                <w:sz w:val="20"/>
                <w:szCs w:val="20"/>
              </w:rPr>
              <w:t>This program will be implemented by the International Women's Development Agency (IWDA) in partnership and collaboration with local in country partner, women’s Rights Action Movement (WRAM). to influence change in women's voice and leadership.</w:t>
            </w:r>
          </w:p>
        </w:tc>
        <w:tc>
          <w:tcPr>
            <w:tcW w:w="1388" w:type="dxa"/>
            <w:tcBorders>
              <w:bottom w:val="single" w:sz="4" w:space="0" w:color="auto"/>
            </w:tcBorders>
          </w:tcPr>
          <w:p w14:paraId="65C70571" w14:textId="77777777" w:rsidR="0010181E" w:rsidRPr="009C2DDC" w:rsidRDefault="0010181E"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$1,750,000</w:t>
            </w:r>
          </w:p>
          <w:p w14:paraId="1F289B8A" w14:textId="77777777" w:rsidR="0010181E" w:rsidRPr="009C2DDC" w:rsidRDefault="0010181E"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A72642F" w14:textId="4775A5AC" w:rsidR="00F7332B" w:rsidRPr="009C2DDC" w:rsidRDefault="0010181E"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sz w:val="20"/>
                <w:szCs w:val="20"/>
              </w:rPr>
              <w:t>202 - 2028</w:t>
            </w:r>
          </w:p>
        </w:tc>
        <w:tc>
          <w:tcPr>
            <w:tcW w:w="1257" w:type="dxa"/>
            <w:tcBorders>
              <w:bottom w:val="single" w:sz="4" w:space="0" w:color="auto"/>
            </w:tcBorders>
          </w:tcPr>
          <w:p w14:paraId="317A1C5E" w14:textId="3EA150D8" w:rsidR="00F7332B" w:rsidRPr="009C2DDC" w:rsidRDefault="0010181E" w:rsidP="006978D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Ongoing (new)</w:t>
            </w:r>
          </w:p>
        </w:tc>
      </w:tr>
      <w:tr w:rsidR="00C45DD1" w:rsidRPr="006E00DA" w14:paraId="5ADC1D49" w14:textId="4A9F85BE" w:rsidTr="00011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tcBorders>
              <w:top w:val="single" w:sz="4" w:space="0" w:color="auto"/>
              <w:bottom w:val="single" w:sz="4" w:space="0" w:color="auto"/>
            </w:tcBorders>
          </w:tcPr>
          <w:p w14:paraId="1888CB1B" w14:textId="4BC38516" w:rsidR="00167056" w:rsidRPr="009C2DDC" w:rsidRDefault="002A0D38" w:rsidP="006978D8">
            <w:pPr>
              <w:spacing w:line="276" w:lineRule="auto"/>
              <w:rPr>
                <w:rFonts w:asciiTheme="majorHAnsi" w:hAnsiTheme="majorHAnsi" w:cstheme="majorHAnsi"/>
                <w:sz w:val="20"/>
                <w:szCs w:val="20"/>
              </w:rPr>
            </w:pPr>
            <w:r>
              <w:rPr>
                <w:rFonts w:asciiTheme="majorHAnsi" w:hAnsiTheme="majorHAnsi" w:cstheme="majorHAnsi"/>
                <w:sz w:val="20"/>
                <w:szCs w:val="20"/>
              </w:rPr>
              <w:t>9</w:t>
            </w:r>
          </w:p>
        </w:tc>
        <w:tc>
          <w:tcPr>
            <w:tcW w:w="1183" w:type="dxa"/>
            <w:tcBorders>
              <w:top w:val="single" w:sz="4" w:space="0" w:color="auto"/>
              <w:bottom w:val="single" w:sz="4" w:space="0" w:color="auto"/>
            </w:tcBorders>
          </w:tcPr>
          <w:p w14:paraId="52E48ADF" w14:textId="247FCF8E"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rPr>
            </w:pPr>
            <w:r w:rsidRPr="009C2DDC">
              <w:rPr>
                <w:rFonts w:asciiTheme="majorHAnsi" w:hAnsiTheme="majorHAnsi" w:cstheme="majorHAnsi"/>
                <w:bCs/>
                <w:sz w:val="20"/>
                <w:szCs w:val="20"/>
              </w:rPr>
              <w:t>78503/22</w:t>
            </w:r>
          </w:p>
        </w:tc>
        <w:tc>
          <w:tcPr>
            <w:tcW w:w="1911" w:type="dxa"/>
            <w:tcBorders>
              <w:top w:val="single" w:sz="4" w:space="0" w:color="auto"/>
              <w:bottom w:val="single" w:sz="4" w:space="0" w:color="auto"/>
            </w:tcBorders>
          </w:tcPr>
          <w:p w14:paraId="564A46F0" w14:textId="12225091"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 xml:space="preserve">Support </w:t>
            </w:r>
            <w:r w:rsidR="00C70FAC" w:rsidRPr="009C2DDC">
              <w:rPr>
                <w:rFonts w:asciiTheme="majorHAnsi" w:hAnsiTheme="majorHAnsi" w:cstheme="majorHAnsi"/>
                <w:bCs/>
                <w:sz w:val="20"/>
                <w:szCs w:val="20"/>
                <w:lang w:val="en-US"/>
              </w:rPr>
              <w:t>for</w:t>
            </w:r>
            <w:r w:rsidRPr="009C2DDC">
              <w:rPr>
                <w:rFonts w:asciiTheme="majorHAnsi" w:hAnsiTheme="majorHAnsi" w:cstheme="majorHAnsi"/>
                <w:bCs/>
                <w:sz w:val="20"/>
                <w:szCs w:val="20"/>
                <w:lang w:val="en-US"/>
              </w:rPr>
              <w:t xml:space="preserve"> Civil Society </w:t>
            </w:r>
            <w:r w:rsidR="005C6215" w:rsidRPr="005C6215">
              <w:rPr>
                <w:rFonts w:asciiTheme="majorHAnsi" w:hAnsiTheme="majorHAnsi" w:cstheme="majorHAnsi"/>
                <w:bCs/>
                <w:sz w:val="20"/>
                <w:szCs w:val="20"/>
                <w:lang w:val="en-US"/>
              </w:rPr>
              <w:t>Organi</w:t>
            </w:r>
            <w:r w:rsidR="00C34CAD">
              <w:rPr>
                <w:rFonts w:asciiTheme="majorHAnsi" w:hAnsiTheme="majorHAnsi" w:cstheme="majorHAnsi"/>
                <w:bCs/>
                <w:sz w:val="20"/>
                <w:szCs w:val="20"/>
                <w:lang w:val="en-US"/>
              </w:rPr>
              <w:t>s</w:t>
            </w:r>
            <w:r w:rsidR="005C6215" w:rsidRPr="005C6215">
              <w:rPr>
                <w:rFonts w:asciiTheme="majorHAnsi" w:hAnsiTheme="majorHAnsi" w:cstheme="majorHAnsi"/>
                <w:bCs/>
                <w:sz w:val="20"/>
                <w:szCs w:val="20"/>
                <w:lang w:val="en-US"/>
              </w:rPr>
              <w:t>ations</w:t>
            </w:r>
          </w:p>
          <w:p w14:paraId="7A90428B"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p>
          <w:p w14:paraId="24B07277" w14:textId="4701F280"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(Australia Solomon Islands Program Support</w:t>
            </w:r>
            <w:r w:rsidR="005C6215">
              <w:rPr>
                <w:rFonts w:asciiTheme="majorHAnsi" w:hAnsiTheme="majorHAnsi" w:cstheme="majorHAnsi"/>
                <w:bCs/>
                <w:sz w:val="20"/>
                <w:szCs w:val="20"/>
                <w:lang w:val="en-US"/>
              </w:rPr>
              <w:t xml:space="preserve"> Facility (DT- Global</w:t>
            </w:r>
            <w:r w:rsidRPr="009C2DDC">
              <w:rPr>
                <w:rFonts w:asciiTheme="majorHAnsi" w:hAnsiTheme="majorHAnsi" w:cstheme="majorHAnsi"/>
                <w:bCs/>
                <w:sz w:val="20"/>
                <w:szCs w:val="20"/>
                <w:lang w:val="en-US"/>
              </w:rPr>
              <w:t>)</w:t>
            </w:r>
            <w:r w:rsidR="005C6215">
              <w:rPr>
                <w:rFonts w:asciiTheme="majorHAnsi" w:hAnsiTheme="majorHAnsi" w:cstheme="majorHAnsi"/>
                <w:bCs/>
                <w:sz w:val="20"/>
                <w:szCs w:val="20"/>
                <w:lang w:val="en-US"/>
              </w:rPr>
              <w:t>)</w:t>
            </w:r>
          </w:p>
        </w:tc>
        <w:tc>
          <w:tcPr>
            <w:tcW w:w="3370" w:type="dxa"/>
            <w:tcBorders>
              <w:top w:val="single" w:sz="4" w:space="0" w:color="auto"/>
              <w:bottom w:val="single" w:sz="4" w:space="0" w:color="auto"/>
            </w:tcBorders>
          </w:tcPr>
          <w:p w14:paraId="202416D3" w14:textId="39B76CB2" w:rsidR="00167056" w:rsidRPr="009C2DDC" w:rsidRDefault="007E7BC3"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 xml:space="preserve">Interim grant support to grantees during the </w:t>
            </w:r>
            <w:proofErr w:type="spellStart"/>
            <w:r w:rsidR="005C6215" w:rsidRPr="005C6215">
              <w:rPr>
                <w:rFonts w:asciiTheme="majorHAnsi" w:hAnsiTheme="majorHAnsi" w:cstheme="majorHAnsi"/>
                <w:bCs/>
                <w:sz w:val="20"/>
                <w:szCs w:val="20"/>
                <w:lang w:val="en-US"/>
              </w:rPr>
              <w:t>finali</w:t>
            </w:r>
            <w:r w:rsidR="00C34CAD">
              <w:rPr>
                <w:rFonts w:asciiTheme="majorHAnsi" w:hAnsiTheme="majorHAnsi" w:cstheme="majorHAnsi"/>
                <w:bCs/>
                <w:sz w:val="20"/>
                <w:szCs w:val="20"/>
                <w:lang w:val="en-US"/>
              </w:rPr>
              <w:t>s</w:t>
            </w:r>
            <w:r w:rsidR="005C6215" w:rsidRPr="005C6215">
              <w:rPr>
                <w:rFonts w:asciiTheme="majorHAnsi" w:hAnsiTheme="majorHAnsi" w:cstheme="majorHAnsi"/>
                <w:bCs/>
                <w:sz w:val="20"/>
                <w:szCs w:val="20"/>
                <w:lang w:val="en-US"/>
              </w:rPr>
              <w:t>ation</w:t>
            </w:r>
            <w:proofErr w:type="spellEnd"/>
            <w:r w:rsidRPr="009C2DDC">
              <w:rPr>
                <w:rFonts w:asciiTheme="majorHAnsi" w:hAnsiTheme="majorHAnsi" w:cstheme="majorHAnsi"/>
                <w:bCs/>
                <w:sz w:val="20"/>
                <w:szCs w:val="20"/>
                <w:lang w:val="en-US"/>
              </w:rPr>
              <w:t xml:space="preserve"> of Solomon Islands DFAT Post’s Gender Design Framework.  </w:t>
            </w:r>
          </w:p>
        </w:tc>
        <w:tc>
          <w:tcPr>
            <w:tcW w:w="1388" w:type="dxa"/>
            <w:tcBorders>
              <w:top w:val="single" w:sz="4" w:space="0" w:color="auto"/>
              <w:bottom w:val="single" w:sz="4" w:space="0" w:color="auto"/>
            </w:tcBorders>
          </w:tcPr>
          <w:p w14:paraId="77C4A54E" w14:textId="76CE29B5"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$500,000</w:t>
            </w:r>
          </w:p>
          <w:p w14:paraId="4E068823" w14:textId="77777777"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p>
          <w:p w14:paraId="238C5D18" w14:textId="665147FD" w:rsidR="00167056" w:rsidRPr="009C2DDC" w:rsidRDefault="00167056"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2024</w:t>
            </w:r>
            <w:r w:rsidR="003B40EA">
              <w:rPr>
                <w:rFonts w:asciiTheme="majorHAnsi" w:hAnsiTheme="majorHAnsi" w:cstheme="majorHAnsi"/>
                <w:bCs/>
                <w:sz w:val="20"/>
                <w:szCs w:val="20"/>
                <w:lang w:val="en-US"/>
              </w:rPr>
              <w:t xml:space="preserve"> </w:t>
            </w:r>
            <w:r w:rsidRPr="009C2DDC">
              <w:rPr>
                <w:rFonts w:asciiTheme="majorHAnsi" w:hAnsiTheme="majorHAnsi" w:cstheme="majorHAnsi"/>
                <w:bCs/>
                <w:sz w:val="20"/>
                <w:szCs w:val="20"/>
                <w:lang w:val="en-US"/>
              </w:rPr>
              <w:t>–</w:t>
            </w:r>
            <w:r w:rsidR="003B40EA">
              <w:rPr>
                <w:rFonts w:asciiTheme="majorHAnsi" w:hAnsiTheme="majorHAnsi" w:cstheme="majorHAnsi"/>
                <w:bCs/>
                <w:sz w:val="20"/>
                <w:szCs w:val="20"/>
                <w:lang w:val="en-US"/>
              </w:rPr>
              <w:t xml:space="preserve"> </w:t>
            </w:r>
            <w:r w:rsidRPr="009C2DDC">
              <w:rPr>
                <w:rFonts w:asciiTheme="majorHAnsi" w:hAnsiTheme="majorHAnsi" w:cstheme="majorHAnsi"/>
                <w:bCs/>
                <w:sz w:val="20"/>
                <w:szCs w:val="20"/>
                <w:lang w:val="en-US"/>
              </w:rPr>
              <w:t>202</w:t>
            </w:r>
            <w:r w:rsidR="00124FDB">
              <w:rPr>
                <w:rFonts w:asciiTheme="majorHAnsi" w:hAnsiTheme="majorHAnsi" w:cstheme="majorHAnsi"/>
                <w:bCs/>
                <w:sz w:val="20"/>
                <w:szCs w:val="20"/>
                <w:lang w:val="en-US"/>
              </w:rPr>
              <w:t>7</w:t>
            </w:r>
          </w:p>
        </w:tc>
        <w:tc>
          <w:tcPr>
            <w:tcW w:w="1257" w:type="dxa"/>
            <w:tcBorders>
              <w:top w:val="single" w:sz="4" w:space="0" w:color="auto"/>
              <w:bottom w:val="single" w:sz="4" w:space="0" w:color="auto"/>
            </w:tcBorders>
          </w:tcPr>
          <w:p w14:paraId="64DAA01D" w14:textId="79AD9FCD" w:rsidR="00167056" w:rsidRPr="009C2DDC" w:rsidRDefault="000E6ECE"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9C2DDC">
              <w:rPr>
                <w:rFonts w:asciiTheme="majorHAnsi" w:hAnsiTheme="majorHAnsi" w:cstheme="majorHAnsi"/>
                <w:bCs/>
                <w:sz w:val="20"/>
                <w:szCs w:val="20"/>
                <w:lang w:val="en-US"/>
              </w:rPr>
              <w:t xml:space="preserve">Ongoing </w:t>
            </w:r>
          </w:p>
        </w:tc>
      </w:tr>
      <w:tr w:rsidR="00C45DD1" w:rsidRPr="006E00DA" w14:paraId="60991D81" w14:textId="77777777" w:rsidTr="00011D21">
        <w:tc>
          <w:tcPr>
            <w:tcW w:w="622" w:type="dxa"/>
            <w:tcBorders>
              <w:top w:val="single" w:sz="4" w:space="0" w:color="auto"/>
              <w:bottom w:val="nil"/>
            </w:tcBorders>
          </w:tcPr>
          <w:p w14:paraId="6FDCDA84" w14:textId="1A74D7DC" w:rsidR="00A10BC1" w:rsidRPr="00A10BC1" w:rsidDel="002A0D38" w:rsidRDefault="00A10BC1" w:rsidP="006978D8">
            <w:pPr>
              <w:spacing w:line="276" w:lineRule="auto"/>
              <w:cnfStyle w:val="001000000000" w:firstRow="0" w:lastRow="0" w:firstColumn="1"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10</w:t>
            </w:r>
          </w:p>
        </w:tc>
        <w:tc>
          <w:tcPr>
            <w:tcW w:w="1183" w:type="dxa"/>
            <w:tcBorders>
              <w:top w:val="single" w:sz="4" w:space="0" w:color="auto"/>
            </w:tcBorders>
          </w:tcPr>
          <w:p w14:paraId="06B7FF2E" w14:textId="568AD016" w:rsidR="00A10BC1" w:rsidRPr="009C2DDC" w:rsidRDefault="00A10BC1" w:rsidP="006978D8">
            <w:pPr>
              <w:spacing w:line="276" w:lineRule="auto"/>
              <w:rPr>
                <w:rFonts w:asciiTheme="majorHAnsi" w:hAnsiTheme="majorHAnsi" w:cstheme="majorHAnsi"/>
                <w:bCs/>
                <w:i/>
                <w:iCs/>
                <w:sz w:val="20"/>
                <w:szCs w:val="20"/>
              </w:rPr>
            </w:pPr>
            <w:r w:rsidRPr="009C2DDC">
              <w:rPr>
                <w:rFonts w:asciiTheme="majorHAnsi" w:hAnsiTheme="majorHAnsi" w:cstheme="majorHAnsi"/>
                <w:bCs/>
                <w:i/>
                <w:iCs/>
                <w:sz w:val="20"/>
                <w:szCs w:val="20"/>
              </w:rPr>
              <w:t>TBC</w:t>
            </w:r>
          </w:p>
        </w:tc>
        <w:tc>
          <w:tcPr>
            <w:tcW w:w="1911" w:type="dxa"/>
            <w:tcBorders>
              <w:top w:val="single" w:sz="4" w:space="0" w:color="auto"/>
            </w:tcBorders>
          </w:tcPr>
          <w:p w14:paraId="27EE40DC" w14:textId="77777777" w:rsidR="00A10BC1" w:rsidRDefault="00A10BC1" w:rsidP="006978D8">
            <w:pPr>
              <w:spacing w:line="276" w:lineRule="auto"/>
              <w:rPr>
                <w:rFonts w:asciiTheme="majorHAnsi" w:hAnsiTheme="majorHAnsi" w:cstheme="majorHAnsi"/>
                <w:bCs/>
                <w:sz w:val="20"/>
                <w:szCs w:val="20"/>
                <w:lang w:val="en-US"/>
              </w:rPr>
            </w:pPr>
            <w:r>
              <w:rPr>
                <w:rFonts w:asciiTheme="majorHAnsi" w:hAnsiTheme="majorHAnsi" w:cstheme="majorHAnsi"/>
                <w:bCs/>
                <w:sz w:val="20"/>
                <w:szCs w:val="20"/>
                <w:lang w:val="en-US"/>
              </w:rPr>
              <w:t>Responding to Violence Against Women Phase 2</w:t>
            </w:r>
          </w:p>
          <w:p w14:paraId="2D64B7B2" w14:textId="77777777" w:rsidR="00DC74A3" w:rsidRDefault="00DC74A3" w:rsidP="006978D8">
            <w:pPr>
              <w:spacing w:line="276" w:lineRule="auto"/>
              <w:rPr>
                <w:rFonts w:asciiTheme="majorHAnsi" w:hAnsiTheme="majorHAnsi" w:cstheme="majorHAnsi"/>
                <w:bCs/>
                <w:sz w:val="20"/>
                <w:szCs w:val="20"/>
                <w:lang w:val="en-US"/>
              </w:rPr>
            </w:pPr>
          </w:p>
          <w:p w14:paraId="5BC539B0" w14:textId="1074350B" w:rsidR="00DC74A3" w:rsidRPr="00A10BC1" w:rsidRDefault="00DC74A3" w:rsidP="006978D8">
            <w:pPr>
              <w:spacing w:line="276" w:lineRule="auto"/>
              <w:rPr>
                <w:rFonts w:asciiTheme="majorHAnsi" w:hAnsiTheme="majorHAnsi" w:cstheme="majorHAnsi"/>
                <w:bCs/>
                <w:sz w:val="20"/>
                <w:szCs w:val="20"/>
                <w:lang w:val="en-US"/>
              </w:rPr>
            </w:pPr>
            <w:r>
              <w:rPr>
                <w:rFonts w:asciiTheme="majorHAnsi" w:hAnsiTheme="majorHAnsi" w:cstheme="majorHAnsi"/>
                <w:bCs/>
                <w:sz w:val="20"/>
                <w:szCs w:val="20"/>
                <w:lang w:val="en-US"/>
              </w:rPr>
              <w:t>(</w:t>
            </w:r>
            <w:r w:rsidRPr="00DC74A3">
              <w:rPr>
                <w:rFonts w:asciiTheme="majorHAnsi" w:hAnsiTheme="majorHAnsi" w:cstheme="majorHAnsi"/>
                <w:bCs/>
                <w:sz w:val="20"/>
                <w:szCs w:val="20"/>
                <w:lang w:val="en-US"/>
              </w:rPr>
              <w:t>International Women’s Development Agency</w:t>
            </w:r>
            <w:r>
              <w:rPr>
                <w:rFonts w:asciiTheme="majorHAnsi" w:hAnsiTheme="majorHAnsi" w:cstheme="majorHAnsi"/>
                <w:bCs/>
                <w:sz w:val="20"/>
                <w:szCs w:val="20"/>
                <w:lang w:val="en-US"/>
              </w:rPr>
              <w:t xml:space="preserve"> (IWDA))</w:t>
            </w:r>
          </w:p>
        </w:tc>
        <w:tc>
          <w:tcPr>
            <w:tcW w:w="3370" w:type="dxa"/>
            <w:tcBorders>
              <w:top w:val="single" w:sz="4" w:space="0" w:color="auto"/>
            </w:tcBorders>
          </w:tcPr>
          <w:p w14:paraId="3842F4B2" w14:textId="2D720C77" w:rsidR="00A10BC1" w:rsidRPr="00A10BC1" w:rsidRDefault="00A75A9E" w:rsidP="006978D8">
            <w:pPr>
              <w:spacing w:line="276" w:lineRule="auto"/>
              <w:rPr>
                <w:rFonts w:asciiTheme="majorHAnsi" w:hAnsiTheme="majorHAnsi" w:cstheme="majorHAnsi"/>
                <w:bCs/>
                <w:sz w:val="20"/>
                <w:szCs w:val="20"/>
                <w:lang w:val="en-US"/>
              </w:rPr>
            </w:pPr>
            <w:r w:rsidRPr="00A75A9E">
              <w:rPr>
                <w:rFonts w:asciiTheme="majorHAnsi" w:hAnsiTheme="majorHAnsi" w:cstheme="majorHAnsi"/>
                <w:bCs/>
                <w:sz w:val="20"/>
                <w:szCs w:val="20"/>
                <w:lang w:val="en-US"/>
              </w:rPr>
              <w:t>Providing core funding, technical support and capacity building to the Christian Care Centre and Family Support Centre, two key organi</w:t>
            </w:r>
            <w:r w:rsidR="00C34CAD">
              <w:rPr>
                <w:rFonts w:asciiTheme="majorHAnsi" w:hAnsiTheme="majorHAnsi" w:cstheme="majorHAnsi"/>
                <w:bCs/>
                <w:sz w:val="20"/>
                <w:szCs w:val="20"/>
                <w:lang w:val="en-US"/>
              </w:rPr>
              <w:t>s</w:t>
            </w:r>
            <w:r w:rsidRPr="00A75A9E">
              <w:rPr>
                <w:rFonts w:asciiTheme="majorHAnsi" w:hAnsiTheme="majorHAnsi" w:cstheme="majorHAnsi"/>
                <w:bCs/>
                <w:sz w:val="20"/>
                <w:szCs w:val="20"/>
                <w:lang w:val="en-US"/>
              </w:rPr>
              <w:t>ations providing emergency shelter, first aid, counselling, and legal services to survivors of violence. This includes funding to explore options (including through property construction, purchase or long-term rental) for ensuring that the Family Support Centre have permanent location in Honiara to provide services to survivors of violence.</w:t>
            </w:r>
          </w:p>
        </w:tc>
        <w:tc>
          <w:tcPr>
            <w:tcW w:w="1388" w:type="dxa"/>
            <w:tcBorders>
              <w:top w:val="single" w:sz="4" w:space="0" w:color="auto"/>
            </w:tcBorders>
          </w:tcPr>
          <w:p w14:paraId="7EF34D09" w14:textId="77777777" w:rsidR="00A10BC1" w:rsidRDefault="00025C71" w:rsidP="006978D8">
            <w:pPr>
              <w:rPr>
                <w:rFonts w:ascii="Aptos Narrow" w:hAnsi="Aptos Narrow"/>
                <w:color w:val="000000"/>
                <w:sz w:val="22"/>
              </w:rPr>
            </w:pPr>
            <w:r>
              <w:rPr>
                <w:rFonts w:ascii="Aptos Narrow" w:hAnsi="Aptos Narrow"/>
                <w:color w:val="000000"/>
                <w:sz w:val="22"/>
              </w:rPr>
              <w:t>$1,580,813</w:t>
            </w:r>
          </w:p>
          <w:p w14:paraId="5D14C191" w14:textId="77777777" w:rsidR="00025C71" w:rsidRDefault="00025C71" w:rsidP="006978D8">
            <w:pPr>
              <w:rPr>
                <w:rFonts w:ascii="Aptos Narrow" w:hAnsi="Aptos Narrow"/>
                <w:color w:val="000000"/>
                <w:sz w:val="22"/>
              </w:rPr>
            </w:pPr>
          </w:p>
          <w:p w14:paraId="7BB22FBF" w14:textId="0D3A5065" w:rsidR="00025C71" w:rsidRPr="009C2DDC" w:rsidRDefault="00025C71" w:rsidP="006978D8">
            <w:pPr>
              <w:rPr>
                <w:rFonts w:ascii="Aptos Narrow" w:hAnsi="Aptos Narrow"/>
                <w:color w:val="000000"/>
              </w:rPr>
            </w:pPr>
            <w:r>
              <w:rPr>
                <w:rFonts w:ascii="Aptos Narrow" w:hAnsi="Aptos Narrow"/>
                <w:color w:val="000000"/>
                <w:sz w:val="22"/>
              </w:rPr>
              <w:t xml:space="preserve">2021 – 2023 </w:t>
            </w:r>
          </w:p>
        </w:tc>
        <w:tc>
          <w:tcPr>
            <w:tcW w:w="1257" w:type="dxa"/>
            <w:tcBorders>
              <w:top w:val="single" w:sz="4" w:space="0" w:color="auto"/>
            </w:tcBorders>
          </w:tcPr>
          <w:p w14:paraId="7DDE9F7B" w14:textId="33C21C70" w:rsidR="00A10BC1" w:rsidRPr="00A10BC1" w:rsidRDefault="00025C71" w:rsidP="006978D8">
            <w:pPr>
              <w:spacing w:line="276" w:lineRule="auto"/>
              <w:rPr>
                <w:rFonts w:asciiTheme="majorHAnsi" w:hAnsiTheme="majorHAnsi" w:cstheme="majorHAnsi"/>
                <w:bCs/>
                <w:sz w:val="20"/>
                <w:szCs w:val="20"/>
                <w:lang w:val="en-US"/>
              </w:rPr>
            </w:pPr>
            <w:r>
              <w:rPr>
                <w:rFonts w:asciiTheme="majorHAnsi" w:hAnsiTheme="majorHAnsi" w:cstheme="majorHAnsi"/>
                <w:bCs/>
                <w:sz w:val="20"/>
                <w:szCs w:val="20"/>
                <w:lang w:val="en-US"/>
              </w:rPr>
              <w:t xml:space="preserve">Completed </w:t>
            </w:r>
          </w:p>
        </w:tc>
      </w:tr>
      <w:tr w:rsidR="00C45DD1" w:rsidRPr="00C45DD1" w14:paraId="14794D28" w14:textId="77777777" w:rsidTr="00011D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tcBorders>
              <w:top w:val="nil"/>
            </w:tcBorders>
          </w:tcPr>
          <w:p w14:paraId="67EE2E49" w14:textId="77777777" w:rsidR="00025C71" w:rsidRPr="00067F3A" w:rsidRDefault="00025C71" w:rsidP="006978D8">
            <w:pPr>
              <w:spacing w:line="276" w:lineRule="auto"/>
              <w:rPr>
                <w:rFonts w:asciiTheme="majorHAnsi" w:hAnsiTheme="majorHAnsi" w:cstheme="majorHAnsi"/>
                <w:sz w:val="20"/>
                <w:szCs w:val="20"/>
              </w:rPr>
            </w:pPr>
          </w:p>
        </w:tc>
        <w:tc>
          <w:tcPr>
            <w:tcW w:w="1183" w:type="dxa"/>
          </w:tcPr>
          <w:p w14:paraId="3772A79F" w14:textId="77777777" w:rsidR="00025C71" w:rsidRPr="00067F3A" w:rsidRDefault="00025C71"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i/>
                <w:iCs/>
                <w:sz w:val="20"/>
                <w:szCs w:val="20"/>
              </w:rPr>
            </w:pPr>
          </w:p>
        </w:tc>
        <w:tc>
          <w:tcPr>
            <w:tcW w:w="1911" w:type="dxa"/>
          </w:tcPr>
          <w:p w14:paraId="23DA696E" w14:textId="77777777" w:rsidR="00025C71" w:rsidRPr="00067F3A" w:rsidRDefault="00FD18B9"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067F3A">
              <w:rPr>
                <w:rFonts w:asciiTheme="majorHAnsi" w:hAnsiTheme="majorHAnsi" w:cstheme="majorHAnsi"/>
                <w:bCs/>
                <w:sz w:val="20"/>
                <w:szCs w:val="20"/>
                <w:lang w:val="en-US"/>
              </w:rPr>
              <w:t>Responding to Violence Against Women Phase 3</w:t>
            </w:r>
          </w:p>
          <w:p w14:paraId="0BE89CE9" w14:textId="77777777" w:rsidR="00FD18B9" w:rsidRPr="00067F3A" w:rsidRDefault="00FD18B9"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p>
          <w:p w14:paraId="44955754" w14:textId="6C47B3ED" w:rsidR="00FD18B9" w:rsidRPr="00067F3A" w:rsidRDefault="00FD18B9"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067F3A">
              <w:rPr>
                <w:rFonts w:asciiTheme="majorHAnsi" w:hAnsiTheme="majorHAnsi" w:cstheme="majorHAnsi"/>
                <w:bCs/>
                <w:sz w:val="20"/>
                <w:szCs w:val="20"/>
                <w:lang w:val="en-US"/>
              </w:rPr>
              <w:t>(International Women’s Development Agency (IWDA))</w:t>
            </w:r>
          </w:p>
        </w:tc>
        <w:tc>
          <w:tcPr>
            <w:tcW w:w="3370" w:type="dxa"/>
          </w:tcPr>
          <w:p w14:paraId="3043FFD1" w14:textId="2CA2D209" w:rsidR="00025C71" w:rsidRPr="00067F3A" w:rsidRDefault="00B75F2D"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067F3A">
              <w:rPr>
                <w:rFonts w:asciiTheme="majorHAnsi" w:hAnsiTheme="majorHAnsi" w:cstheme="majorHAnsi"/>
                <w:bCs/>
                <w:sz w:val="20"/>
                <w:szCs w:val="20"/>
                <w:lang w:val="en-US"/>
              </w:rPr>
              <w:t>The project provides core funding, technical support and capacity building to the Christian Care Centre, two key organi</w:t>
            </w:r>
            <w:r w:rsidR="00C34CAD">
              <w:rPr>
                <w:rFonts w:asciiTheme="majorHAnsi" w:hAnsiTheme="majorHAnsi" w:cstheme="majorHAnsi"/>
                <w:bCs/>
                <w:sz w:val="20"/>
                <w:szCs w:val="20"/>
                <w:lang w:val="en-US"/>
              </w:rPr>
              <w:t>s</w:t>
            </w:r>
            <w:r w:rsidRPr="00067F3A">
              <w:rPr>
                <w:rFonts w:asciiTheme="majorHAnsi" w:hAnsiTheme="majorHAnsi" w:cstheme="majorHAnsi"/>
                <w:bCs/>
                <w:sz w:val="20"/>
                <w:szCs w:val="20"/>
                <w:lang w:val="en-US"/>
              </w:rPr>
              <w:t xml:space="preserve">ations providing emergency shelter, first aid, counselling, and legal services to survivors of violence. This includes funding to explore options (including through property construction, purchase or long-term rental) for ensuring that the Family </w:t>
            </w:r>
            <w:r w:rsidRPr="00067F3A">
              <w:rPr>
                <w:rFonts w:asciiTheme="majorHAnsi" w:hAnsiTheme="majorHAnsi" w:cstheme="majorHAnsi"/>
                <w:bCs/>
                <w:sz w:val="20"/>
                <w:szCs w:val="20"/>
                <w:lang w:val="en-US"/>
              </w:rPr>
              <w:lastRenderedPageBreak/>
              <w:t xml:space="preserve">Support Centre has a permanent crisis </w:t>
            </w:r>
            <w:r w:rsidR="00067F3A" w:rsidRPr="00067F3A">
              <w:rPr>
                <w:rFonts w:asciiTheme="majorHAnsi" w:hAnsiTheme="majorHAnsi" w:cstheme="majorHAnsi"/>
                <w:bCs/>
                <w:sz w:val="20"/>
                <w:szCs w:val="20"/>
                <w:lang w:val="en-US"/>
              </w:rPr>
              <w:t>Centre</w:t>
            </w:r>
            <w:r w:rsidRPr="00067F3A">
              <w:rPr>
                <w:rFonts w:asciiTheme="majorHAnsi" w:hAnsiTheme="majorHAnsi" w:cstheme="majorHAnsi"/>
                <w:bCs/>
                <w:sz w:val="20"/>
                <w:szCs w:val="20"/>
                <w:lang w:val="en-US"/>
              </w:rPr>
              <w:t xml:space="preserve"> in Honiara.</w:t>
            </w:r>
          </w:p>
        </w:tc>
        <w:tc>
          <w:tcPr>
            <w:tcW w:w="1388" w:type="dxa"/>
          </w:tcPr>
          <w:p w14:paraId="0B946727" w14:textId="5A752BE2" w:rsidR="002019AF" w:rsidRPr="009C2DDC" w:rsidRDefault="002019AF" w:rsidP="006978D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9C2DDC">
              <w:rPr>
                <w:rFonts w:asciiTheme="majorHAnsi" w:hAnsiTheme="majorHAnsi" w:cstheme="majorHAnsi"/>
                <w:color w:val="000000"/>
                <w:sz w:val="20"/>
                <w:szCs w:val="20"/>
              </w:rPr>
              <w:lastRenderedPageBreak/>
              <w:t>$5,000,000</w:t>
            </w:r>
          </w:p>
          <w:p w14:paraId="1A5A2544" w14:textId="77777777" w:rsidR="002019AF" w:rsidRPr="009C2DDC" w:rsidRDefault="002019AF" w:rsidP="006978D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BB9C7A6" w14:textId="05A503FD" w:rsidR="002019AF" w:rsidRPr="009C2DDC" w:rsidRDefault="00067F3A" w:rsidP="006978D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C2DDC">
              <w:rPr>
                <w:rFonts w:asciiTheme="majorHAnsi" w:hAnsiTheme="majorHAnsi" w:cstheme="majorHAnsi"/>
                <w:sz w:val="20"/>
                <w:szCs w:val="20"/>
              </w:rPr>
              <w:t xml:space="preserve">2024 – 2027 </w:t>
            </w:r>
          </w:p>
        </w:tc>
        <w:tc>
          <w:tcPr>
            <w:tcW w:w="1257" w:type="dxa"/>
          </w:tcPr>
          <w:p w14:paraId="612CF329" w14:textId="7C57C313" w:rsidR="00025C71" w:rsidRPr="00067F3A" w:rsidRDefault="00067F3A" w:rsidP="006978D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0"/>
                <w:szCs w:val="20"/>
                <w:lang w:val="en-US"/>
              </w:rPr>
            </w:pPr>
            <w:r w:rsidRPr="00067F3A">
              <w:rPr>
                <w:rFonts w:asciiTheme="majorHAnsi" w:hAnsiTheme="majorHAnsi" w:cstheme="majorHAnsi"/>
                <w:bCs/>
                <w:sz w:val="20"/>
                <w:szCs w:val="20"/>
                <w:lang w:val="en-US"/>
              </w:rPr>
              <w:t>Ongoing</w:t>
            </w:r>
          </w:p>
        </w:tc>
      </w:tr>
    </w:tbl>
    <w:p w14:paraId="708221BB" w14:textId="00C1C83F" w:rsidR="00966EA1" w:rsidRPr="009C2DDC" w:rsidRDefault="00E038ED" w:rsidP="006978D8">
      <w:pPr>
        <w:pStyle w:val="Heading2"/>
        <w:ind w:hanging="993"/>
        <w:rPr>
          <w:rFonts w:asciiTheme="majorHAnsi" w:hAnsiTheme="majorHAnsi" w:cstheme="majorHAnsi"/>
        </w:rPr>
      </w:pPr>
      <w:bookmarkStart w:id="24" w:name="_Toc208711166"/>
      <w:r w:rsidRPr="009C2DDC">
        <w:rPr>
          <w:rFonts w:asciiTheme="majorHAnsi" w:hAnsiTheme="majorHAnsi" w:cstheme="majorHAnsi"/>
        </w:rPr>
        <w:t>Pacific Women Lead Enabling Services</w:t>
      </w:r>
      <w:bookmarkEnd w:id="24"/>
    </w:p>
    <w:p w14:paraId="0B87C08F" w14:textId="0385B54B" w:rsidR="009109D2" w:rsidRDefault="00B63199" w:rsidP="006978D8">
      <w:pPr>
        <w:spacing w:line="276" w:lineRule="auto"/>
        <w:jc w:val="left"/>
        <w:rPr>
          <w:rFonts w:asciiTheme="majorHAnsi" w:hAnsiTheme="majorHAnsi" w:cstheme="majorHAnsi"/>
          <w:sz w:val="20"/>
          <w:szCs w:val="20"/>
        </w:rPr>
      </w:pPr>
      <w:r w:rsidRPr="00F56579">
        <w:rPr>
          <w:rFonts w:asciiTheme="majorHAnsi" w:hAnsiTheme="majorHAnsi" w:cstheme="majorHAnsi"/>
          <w:sz w:val="20"/>
          <w:szCs w:val="20"/>
        </w:rPr>
        <w:t xml:space="preserve">Pacific Women Lead Enabling Services (PWLES) </w:t>
      </w:r>
      <w:r w:rsidR="00DD0D37" w:rsidRPr="00F56579">
        <w:rPr>
          <w:rFonts w:asciiTheme="majorHAnsi" w:hAnsiTheme="majorHAnsi" w:cstheme="majorHAnsi"/>
          <w:sz w:val="20"/>
          <w:szCs w:val="20"/>
        </w:rPr>
        <w:t xml:space="preserve">provides </w:t>
      </w:r>
      <w:r w:rsidR="003E5CC9" w:rsidRPr="00F56579">
        <w:rPr>
          <w:rFonts w:asciiTheme="majorHAnsi" w:hAnsiTheme="majorHAnsi" w:cstheme="majorHAnsi"/>
          <w:sz w:val="20"/>
          <w:szCs w:val="20"/>
        </w:rPr>
        <w:t xml:space="preserve">whole-of-portfolio </w:t>
      </w:r>
      <w:r w:rsidR="00DD0D37" w:rsidRPr="00F56579">
        <w:rPr>
          <w:rFonts w:asciiTheme="majorHAnsi" w:hAnsiTheme="majorHAnsi" w:cstheme="majorHAnsi"/>
          <w:sz w:val="20"/>
          <w:szCs w:val="20"/>
        </w:rPr>
        <w:t>monitoring, evaluation and learning</w:t>
      </w:r>
      <w:r w:rsidR="00CC3E20" w:rsidRPr="00F56579">
        <w:rPr>
          <w:rFonts w:asciiTheme="majorHAnsi" w:hAnsiTheme="majorHAnsi" w:cstheme="majorHAnsi"/>
          <w:sz w:val="20"/>
          <w:szCs w:val="20"/>
        </w:rPr>
        <w:t xml:space="preserve"> oversight, technical advisory support and grant management services. PWLES has an independent Quality and Technical Assurance Group (QTAG) panel of approximately 50 consultants. PWLES is valued at AUD32 million.</w:t>
      </w:r>
    </w:p>
    <w:p w14:paraId="6C247DBA" w14:textId="6C1864B4" w:rsidR="00CE040A" w:rsidRPr="009C2DDC" w:rsidRDefault="0066017F" w:rsidP="006978D8">
      <w:pPr>
        <w:pStyle w:val="Heading1"/>
        <w:rPr>
          <w:rFonts w:asciiTheme="majorHAnsi" w:hAnsiTheme="majorHAnsi" w:cstheme="majorHAnsi"/>
        </w:rPr>
      </w:pPr>
      <w:bookmarkStart w:id="25" w:name="_Toc208711167"/>
      <w:r w:rsidRPr="009C2DDC">
        <w:rPr>
          <w:rFonts w:asciiTheme="majorHAnsi" w:hAnsiTheme="majorHAnsi" w:cstheme="majorHAnsi"/>
        </w:rPr>
        <w:t>Impact stories and r</w:t>
      </w:r>
      <w:r w:rsidR="00970F8C" w:rsidRPr="009C2DDC">
        <w:rPr>
          <w:rFonts w:asciiTheme="majorHAnsi" w:hAnsiTheme="majorHAnsi" w:cstheme="majorHAnsi"/>
        </w:rPr>
        <w:t>each data</w:t>
      </w:r>
      <w:r w:rsidRPr="009C2DDC">
        <w:rPr>
          <w:rFonts w:asciiTheme="majorHAnsi" w:hAnsiTheme="majorHAnsi" w:cstheme="majorHAnsi"/>
        </w:rPr>
        <w:t xml:space="preserve"> for DFAT bilateral projects</w:t>
      </w:r>
      <w:bookmarkEnd w:id="25"/>
      <w:r w:rsidRPr="009C2DDC">
        <w:rPr>
          <w:rFonts w:asciiTheme="majorHAnsi" w:hAnsiTheme="majorHAnsi" w:cstheme="majorHAnsi"/>
        </w:rPr>
        <w:t xml:space="preserve"> </w:t>
      </w:r>
    </w:p>
    <w:p w14:paraId="7090D99A" w14:textId="49AF1022" w:rsidR="00885212" w:rsidRPr="009C2DDC" w:rsidRDefault="00885212" w:rsidP="006978D8">
      <w:pPr>
        <w:pStyle w:val="Heading2"/>
        <w:rPr>
          <w:rFonts w:asciiTheme="majorHAnsi" w:hAnsiTheme="majorHAnsi" w:cstheme="majorHAnsi"/>
        </w:rPr>
      </w:pPr>
      <w:bookmarkStart w:id="26" w:name="_Toc208711168"/>
      <w:r w:rsidRPr="009C2DDC">
        <w:rPr>
          <w:rFonts w:asciiTheme="majorHAnsi" w:hAnsiTheme="majorHAnsi" w:cstheme="majorHAnsi"/>
        </w:rPr>
        <w:t>Impact stories</w:t>
      </w:r>
      <w:bookmarkEnd w:id="26"/>
    </w:p>
    <w:p w14:paraId="02F5DABB" w14:textId="1A93FC99" w:rsidR="00885212" w:rsidRPr="009C2DDC" w:rsidRDefault="00B842DE" w:rsidP="006978D8">
      <w:pPr>
        <w:jc w:val="left"/>
        <w:rPr>
          <w:rFonts w:asciiTheme="majorHAnsi" w:hAnsiTheme="majorHAnsi" w:cstheme="majorHAnsi"/>
          <w:sz w:val="20"/>
          <w:szCs w:val="20"/>
        </w:rPr>
      </w:pPr>
      <w:r w:rsidRPr="009C2DDC">
        <w:rPr>
          <w:rFonts w:asciiTheme="majorHAnsi" w:hAnsiTheme="majorHAnsi" w:cstheme="majorHAnsi"/>
          <w:sz w:val="20"/>
          <w:szCs w:val="20"/>
        </w:rPr>
        <w:t>Links to these stories will be available in the next update when the stories are uploaded onto the PWL website. </w:t>
      </w:r>
    </w:p>
    <w:p w14:paraId="55EC16BC" w14:textId="320DA685" w:rsidR="001D5D8D" w:rsidRPr="009C2DDC" w:rsidRDefault="001D5D8D" w:rsidP="006978D8">
      <w:pPr>
        <w:pStyle w:val="Heading2"/>
        <w:rPr>
          <w:rFonts w:asciiTheme="majorHAnsi" w:hAnsiTheme="majorHAnsi" w:cstheme="majorHAnsi"/>
        </w:rPr>
      </w:pPr>
      <w:bookmarkStart w:id="27" w:name="_Toc208711169"/>
      <w:r w:rsidRPr="009C2DDC">
        <w:rPr>
          <w:rFonts w:asciiTheme="majorHAnsi" w:hAnsiTheme="majorHAnsi" w:cstheme="majorHAnsi"/>
        </w:rPr>
        <w:t>Cumulative reach data</w:t>
      </w:r>
      <w:bookmarkEnd w:id="27"/>
    </w:p>
    <w:p w14:paraId="0428E852" w14:textId="427066C9" w:rsidR="008B0E72" w:rsidRDefault="004B4389" w:rsidP="006978D8">
      <w:pPr>
        <w:pStyle w:val="BodyText"/>
        <w:spacing w:before="360" w:after="360"/>
        <w:rPr>
          <w:rFonts w:asciiTheme="majorHAnsi" w:hAnsiTheme="majorHAnsi" w:cstheme="majorHAnsi"/>
          <w:szCs w:val="20"/>
        </w:rPr>
      </w:pPr>
      <w:r>
        <w:rPr>
          <w:rFonts w:asciiTheme="majorHAnsi" w:hAnsiTheme="majorHAnsi" w:cstheme="majorHAnsi"/>
          <w:szCs w:val="20"/>
        </w:rPr>
        <w:t xml:space="preserve">Since 2021 to present, </w:t>
      </w:r>
      <w:r w:rsidR="005114DC">
        <w:rPr>
          <w:rFonts w:asciiTheme="majorHAnsi" w:hAnsiTheme="majorHAnsi" w:cstheme="majorHAnsi"/>
          <w:szCs w:val="20"/>
        </w:rPr>
        <w:t xml:space="preserve">7 </w:t>
      </w:r>
      <w:r>
        <w:rPr>
          <w:rFonts w:asciiTheme="majorHAnsi" w:hAnsiTheme="majorHAnsi" w:cstheme="majorHAnsi"/>
          <w:szCs w:val="20"/>
        </w:rPr>
        <w:t xml:space="preserve">projects have provided data against PWL quantitative indicators. See </w:t>
      </w:r>
      <w:r w:rsidRPr="00011D21">
        <w:rPr>
          <w:rFonts w:asciiTheme="majorHAnsi" w:hAnsiTheme="majorHAnsi" w:cstheme="majorHAnsi"/>
          <w:b/>
          <w:bCs/>
          <w:szCs w:val="20"/>
        </w:rPr>
        <w:t xml:space="preserve">Annex </w:t>
      </w:r>
      <w:r w:rsidR="00EE0A65" w:rsidRPr="00011D21">
        <w:rPr>
          <w:rFonts w:asciiTheme="majorHAnsi" w:hAnsiTheme="majorHAnsi" w:cstheme="majorHAnsi"/>
          <w:b/>
          <w:bCs/>
          <w:szCs w:val="20"/>
        </w:rPr>
        <w:t>1</w:t>
      </w:r>
      <w:r>
        <w:rPr>
          <w:rFonts w:asciiTheme="majorHAnsi" w:hAnsiTheme="majorHAnsi" w:cstheme="majorHAnsi"/>
          <w:szCs w:val="20"/>
        </w:rPr>
        <w:tab/>
        <w:t xml:space="preserve"> for cumulative reach data for DFAT bilateral projects. </w:t>
      </w:r>
    </w:p>
    <w:p w14:paraId="640F3594" w14:textId="4D5D6E20" w:rsidR="00023396" w:rsidRPr="009C2DDC" w:rsidRDefault="00023396" w:rsidP="006978D8">
      <w:pPr>
        <w:pStyle w:val="Heading1"/>
        <w:rPr>
          <w:rFonts w:asciiTheme="majorHAnsi" w:hAnsiTheme="majorHAnsi" w:cstheme="majorHAnsi"/>
        </w:rPr>
      </w:pPr>
      <w:bookmarkStart w:id="28" w:name="_Toc192603203"/>
      <w:bookmarkStart w:id="29" w:name="_Toc208711170"/>
      <w:r w:rsidRPr="009C2DDC">
        <w:rPr>
          <w:rFonts w:asciiTheme="majorHAnsi" w:hAnsiTheme="majorHAnsi" w:cstheme="majorHAnsi"/>
        </w:rPr>
        <w:t>More information and support</w:t>
      </w:r>
      <w:bookmarkEnd w:id="28"/>
      <w:bookmarkEnd w:id="29"/>
    </w:p>
    <w:p w14:paraId="4BBF745A" w14:textId="77777777" w:rsidR="004208F1" w:rsidRPr="00F56579" w:rsidRDefault="00023396" w:rsidP="006978D8">
      <w:pPr>
        <w:pStyle w:val="BodyText"/>
        <w:rPr>
          <w:rFonts w:asciiTheme="majorHAnsi" w:hAnsiTheme="majorHAnsi" w:cstheme="majorHAnsi"/>
          <w:szCs w:val="20"/>
        </w:rPr>
      </w:pPr>
      <w:r w:rsidRPr="00023396">
        <w:rPr>
          <w:rFonts w:asciiTheme="majorHAnsi" w:hAnsiTheme="majorHAnsi" w:cstheme="majorHAnsi"/>
          <w:szCs w:val="20"/>
        </w:rPr>
        <w:t>This country brief was prepared by Pacific Women Lead Enabling Services (PWLES). PWLES provides support for DFAT Posts and PWL at SPC in the following ways.</w:t>
      </w:r>
      <w:bookmarkStart w:id="30" w:name="_Toc192603204"/>
    </w:p>
    <w:p w14:paraId="00E4BDDF" w14:textId="187E98FA" w:rsidR="00023396" w:rsidRPr="009C2DDC" w:rsidRDefault="00023396" w:rsidP="006978D8">
      <w:pPr>
        <w:pStyle w:val="Heading2"/>
        <w:ind w:left="851"/>
        <w:rPr>
          <w:rFonts w:asciiTheme="majorHAnsi" w:hAnsiTheme="majorHAnsi" w:cstheme="majorHAnsi"/>
        </w:rPr>
      </w:pPr>
      <w:bookmarkStart w:id="31" w:name="_Toc208711171"/>
      <w:r w:rsidRPr="009C2DDC">
        <w:rPr>
          <w:rFonts w:asciiTheme="majorHAnsi" w:hAnsiTheme="majorHAnsi" w:cstheme="majorHAnsi"/>
        </w:rPr>
        <w:t>Monitoring, evaluation and learning support</w:t>
      </w:r>
      <w:bookmarkEnd w:id="30"/>
      <w:bookmarkEnd w:id="31"/>
    </w:p>
    <w:p w14:paraId="6254B8E0" w14:textId="77777777" w:rsidR="00023396" w:rsidRPr="00023396" w:rsidRDefault="00023396" w:rsidP="006978D8">
      <w:pPr>
        <w:pStyle w:val="BodyText"/>
        <w:rPr>
          <w:rFonts w:asciiTheme="majorHAnsi" w:hAnsiTheme="majorHAnsi" w:cstheme="majorHAnsi"/>
          <w:szCs w:val="20"/>
        </w:rPr>
      </w:pPr>
      <w:r w:rsidRPr="00023396">
        <w:rPr>
          <w:rFonts w:asciiTheme="majorHAnsi" w:hAnsiTheme="majorHAnsi" w:cstheme="majorHAnsi"/>
          <w:szCs w:val="20"/>
        </w:rPr>
        <w:t>PWLES manages the PWL portfolio MEL system. The MEL system has two databases:</w:t>
      </w:r>
    </w:p>
    <w:p w14:paraId="6745514D" w14:textId="21CE1B19" w:rsidR="00023396" w:rsidRPr="00023396" w:rsidRDefault="00023396" w:rsidP="006978D8">
      <w:pPr>
        <w:pStyle w:val="BodyText"/>
        <w:numPr>
          <w:ilvl w:val="0"/>
          <w:numId w:val="6"/>
        </w:numPr>
        <w:rPr>
          <w:rFonts w:asciiTheme="majorHAnsi" w:hAnsiTheme="majorHAnsi" w:cstheme="majorHAnsi"/>
          <w:b/>
          <w:bCs/>
          <w:szCs w:val="20"/>
        </w:rPr>
      </w:pPr>
      <w:r w:rsidRPr="00023396">
        <w:rPr>
          <w:rFonts w:asciiTheme="majorHAnsi" w:hAnsiTheme="majorHAnsi" w:cstheme="majorHAnsi"/>
          <w:szCs w:val="20"/>
        </w:rPr>
        <w:t>A</w:t>
      </w:r>
      <w:r w:rsidRPr="00023396">
        <w:rPr>
          <w:rFonts w:asciiTheme="majorHAnsi" w:hAnsiTheme="majorHAnsi" w:cstheme="majorHAnsi"/>
          <w:b/>
          <w:bCs/>
          <w:szCs w:val="20"/>
        </w:rPr>
        <w:t xml:space="preserve"> Quantitative database</w:t>
      </w:r>
      <w:r w:rsidRPr="00023396">
        <w:rPr>
          <w:rFonts w:asciiTheme="majorHAnsi" w:hAnsiTheme="majorHAnsi" w:cstheme="majorHAnsi"/>
          <w:szCs w:val="20"/>
        </w:rPr>
        <w:t xml:space="preserve"> that tracks progress against PWL indicators and can be accessed through a dashboard on the PWL website: </w:t>
      </w:r>
      <w:hyperlink r:id="rId18" w:history="1">
        <w:r w:rsidRPr="00023396">
          <w:rPr>
            <w:rStyle w:val="Hyperlink"/>
            <w:rFonts w:asciiTheme="majorHAnsi" w:hAnsiTheme="majorHAnsi" w:cstheme="majorHAnsi"/>
            <w:szCs w:val="20"/>
          </w:rPr>
          <w:t>Pacific Women Lead - Our Impact</w:t>
        </w:r>
      </w:hyperlink>
      <w:r w:rsidRPr="00023396">
        <w:rPr>
          <w:rFonts w:asciiTheme="majorHAnsi" w:hAnsiTheme="majorHAnsi" w:cstheme="majorHAnsi"/>
          <w:szCs w:val="20"/>
        </w:rPr>
        <w:t>. The dashboard is updated six monthly after each reporting cycle.</w:t>
      </w:r>
    </w:p>
    <w:p w14:paraId="694CD9CD" w14:textId="77777777" w:rsidR="00023396" w:rsidRPr="00023396" w:rsidRDefault="00023396" w:rsidP="006978D8">
      <w:pPr>
        <w:pStyle w:val="BodyText"/>
        <w:numPr>
          <w:ilvl w:val="0"/>
          <w:numId w:val="6"/>
        </w:numPr>
        <w:rPr>
          <w:rFonts w:asciiTheme="majorHAnsi" w:hAnsiTheme="majorHAnsi" w:cstheme="majorHAnsi"/>
          <w:szCs w:val="20"/>
        </w:rPr>
      </w:pPr>
      <w:r w:rsidRPr="00023396">
        <w:rPr>
          <w:rFonts w:asciiTheme="majorHAnsi" w:hAnsiTheme="majorHAnsi" w:cstheme="majorHAnsi"/>
          <w:szCs w:val="20"/>
        </w:rPr>
        <w:t>A</w:t>
      </w:r>
      <w:r w:rsidRPr="00023396">
        <w:rPr>
          <w:rFonts w:asciiTheme="majorHAnsi" w:hAnsiTheme="majorHAnsi" w:cstheme="majorHAnsi"/>
          <w:b/>
          <w:bCs/>
          <w:szCs w:val="20"/>
        </w:rPr>
        <w:t xml:space="preserve"> Qualitative database</w:t>
      </w:r>
      <w:r w:rsidRPr="00023396">
        <w:rPr>
          <w:rFonts w:asciiTheme="majorHAnsi" w:hAnsiTheme="majorHAnsi" w:cstheme="majorHAnsi"/>
          <w:szCs w:val="20"/>
        </w:rPr>
        <w:t xml:space="preserve"> that allows the PWLES MEL team to code partner narrative reports against qualitative change domains.</w:t>
      </w:r>
    </w:p>
    <w:p w14:paraId="444C7DB7" w14:textId="77777777" w:rsidR="00023396" w:rsidRPr="00023396" w:rsidRDefault="00023396" w:rsidP="006978D8">
      <w:pPr>
        <w:pStyle w:val="BodyText"/>
        <w:rPr>
          <w:rFonts w:asciiTheme="majorHAnsi" w:hAnsiTheme="majorHAnsi" w:cstheme="majorHAnsi"/>
          <w:szCs w:val="20"/>
        </w:rPr>
      </w:pPr>
      <w:r w:rsidRPr="00023396">
        <w:rPr>
          <w:rFonts w:asciiTheme="majorHAnsi" w:hAnsiTheme="majorHAnsi" w:cstheme="majorHAnsi"/>
          <w:szCs w:val="20"/>
        </w:rPr>
        <w:t xml:space="preserve">The MEL system has the capability to organise and provide data, particularly for DFAT’s reporting processes (IMR and Tier 2 reporting), and qualitative evidence or quotes that can be used for briefing documents or speeches.     </w:t>
      </w:r>
    </w:p>
    <w:p w14:paraId="457FB311" w14:textId="3A98FED2" w:rsidR="00023396" w:rsidRPr="00023396" w:rsidRDefault="00023396" w:rsidP="006978D8">
      <w:pPr>
        <w:pStyle w:val="BodyText"/>
        <w:rPr>
          <w:rFonts w:asciiTheme="majorHAnsi" w:hAnsiTheme="majorHAnsi" w:cstheme="majorHAnsi"/>
          <w:b/>
          <w:bCs/>
          <w:szCs w:val="20"/>
        </w:rPr>
      </w:pPr>
      <w:r w:rsidRPr="00023396">
        <w:rPr>
          <w:rFonts w:asciiTheme="majorHAnsi" w:hAnsiTheme="majorHAnsi" w:cstheme="majorHAnsi"/>
          <w:b/>
          <w:bCs/>
          <w:szCs w:val="20"/>
        </w:rPr>
        <w:t xml:space="preserve">Collection of qualitative impact stories: </w:t>
      </w:r>
      <w:r w:rsidRPr="00023396">
        <w:rPr>
          <w:rFonts w:asciiTheme="majorHAnsi" w:hAnsiTheme="majorHAnsi" w:cstheme="majorHAnsi"/>
          <w:szCs w:val="20"/>
        </w:rPr>
        <w:t xml:space="preserve">PWLES collaborates with partners in each country to collect impact stories twice a year (February and July). These stories are used to inform the PWL MEL system and can be used by the PWL components for public diplomacy. These stories are published on the PWL website: </w:t>
      </w:r>
      <w:hyperlink r:id="rId19" w:history="1">
        <w:r w:rsidRPr="00023396">
          <w:rPr>
            <w:rStyle w:val="Hyperlink"/>
            <w:rFonts w:asciiTheme="majorHAnsi" w:hAnsiTheme="majorHAnsi" w:cstheme="majorHAnsi"/>
            <w:szCs w:val="20"/>
          </w:rPr>
          <w:t>Pacific Women Lead - Stories</w:t>
        </w:r>
      </w:hyperlink>
    </w:p>
    <w:p w14:paraId="4F0567FE" w14:textId="2A7B8930" w:rsidR="00023396" w:rsidRPr="00023396" w:rsidRDefault="00023396" w:rsidP="006978D8">
      <w:pPr>
        <w:pStyle w:val="BodyText"/>
        <w:rPr>
          <w:rFonts w:asciiTheme="majorHAnsi" w:hAnsiTheme="majorHAnsi" w:cstheme="majorHAnsi"/>
          <w:szCs w:val="20"/>
        </w:rPr>
      </w:pPr>
      <w:r w:rsidRPr="00023396">
        <w:rPr>
          <w:rFonts w:asciiTheme="majorHAnsi" w:hAnsiTheme="majorHAnsi" w:cstheme="majorHAnsi"/>
          <w:b/>
          <w:bCs/>
          <w:szCs w:val="20"/>
        </w:rPr>
        <w:t xml:space="preserve">Monitoring the rights of people with disabilities Framework: </w:t>
      </w:r>
      <w:r w:rsidRPr="00023396">
        <w:rPr>
          <w:rFonts w:asciiTheme="majorHAnsi" w:hAnsiTheme="majorHAnsi" w:cstheme="majorHAnsi"/>
          <w:szCs w:val="20"/>
        </w:rPr>
        <w:t xml:space="preserve">PWLES developed two guidance notes to support partners to enhance data collection and reporting on disability inclusion. The guidance notes can be accessed here: </w:t>
      </w:r>
      <w:hyperlink r:id="rId20" w:history="1">
        <w:r w:rsidRPr="00023396">
          <w:rPr>
            <w:rStyle w:val="Hyperlink"/>
            <w:rFonts w:asciiTheme="majorHAnsi" w:hAnsiTheme="majorHAnsi" w:cstheme="majorHAnsi"/>
            <w:szCs w:val="20"/>
          </w:rPr>
          <w:t>Pacific Women Lead - Resources</w:t>
        </w:r>
      </w:hyperlink>
      <w:r w:rsidRPr="00023396">
        <w:rPr>
          <w:rFonts w:asciiTheme="majorHAnsi" w:hAnsiTheme="majorHAnsi" w:cstheme="majorHAnsi"/>
          <w:szCs w:val="20"/>
        </w:rPr>
        <w:t xml:space="preserve">. PWLES has also facilitated a webinar discussion on these guidance notes which you can watch here: </w:t>
      </w:r>
      <w:hyperlink r:id="rId21" w:history="1">
        <w:r w:rsidRPr="00023396">
          <w:rPr>
            <w:rStyle w:val="Hyperlink"/>
            <w:rFonts w:asciiTheme="majorHAnsi" w:hAnsiTheme="majorHAnsi" w:cstheme="majorHAnsi"/>
            <w:szCs w:val="20"/>
          </w:rPr>
          <w:t>Monitoring the journey towards the realisation of rights for people with disabilities</w:t>
        </w:r>
      </w:hyperlink>
      <w:r w:rsidRPr="00023396">
        <w:rPr>
          <w:rFonts w:asciiTheme="majorHAnsi" w:hAnsiTheme="majorHAnsi" w:cstheme="majorHAnsi"/>
          <w:szCs w:val="20"/>
        </w:rPr>
        <w:t>.</w:t>
      </w:r>
    </w:p>
    <w:p w14:paraId="1D736CCB" w14:textId="2CE6765A" w:rsidR="00023396" w:rsidRPr="00023396" w:rsidRDefault="00023396" w:rsidP="006978D8">
      <w:pPr>
        <w:pStyle w:val="BodyText"/>
        <w:rPr>
          <w:rFonts w:asciiTheme="majorHAnsi" w:hAnsiTheme="majorHAnsi" w:cstheme="majorHAnsi"/>
          <w:szCs w:val="20"/>
        </w:rPr>
      </w:pPr>
      <w:r w:rsidRPr="00023396">
        <w:rPr>
          <w:rFonts w:asciiTheme="majorHAnsi" w:hAnsiTheme="majorHAnsi" w:cstheme="majorHAnsi"/>
          <w:b/>
          <w:bCs/>
          <w:szCs w:val="20"/>
        </w:rPr>
        <w:lastRenderedPageBreak/>
        <w:t xml:space="preserve">Annual Reflection and Analysis Workshop: </w:t>
      </w:r>
      <w:r w:rsidRPr="00023396">
        <w:rPr>
          <w:rFonts w:asciiTheme="majorHAnsi" w:hAnsiTheme="majorHAnsi" w:cstheme="majorHAnsi"/>
          <w:szCs w:val="20"/>
        </w:rPr>
        <w:t xml:space="preserve">Each year, PWLES co-convenes an Annual Reflection and Analysis Workshop in September that brings together partners across the PWL portfolio to collaborate and analyse data to understand the program’s progress and make recommendations for the program. A summary of the 2024 Annual Reflection and Analysis Workshop can be watched here: </w:t>
      </w:r>
      <w:hyperlink r:id="rId22" w:history="1">
        <w:r w:rsidRPr="00023396">
          <w:rPr>
            <w:rStyle w:val="Hyperlink"/>
            <w:rFonts w:asciiTheme="majorHAnsi" w:hAnsiTheme="majorHAnsi" w:cstheme="majorHAnsi"/>
            <w:szCs w:val="20"/>
          </w:rPr>
          <w:t>Second Pacific Women Lead Annual Reflection and Analysis Workshop (2024)</w:t>
        </w:r>
      </w:hyperlink>
      <w:r w:rsidRPr="00023396">
        <w:rPr>
          <w:rFonts w:asciiTheme="majorHAnsi" w:hAnsiTheme="majorHAnsi" w:cstheme="majorHAnsi"/>
          <w:szCs w:val="20"/>
        </w:rPr>
        <w:t>.</w:t>
      </w:r>
    </w:p>
    <w:p w14:paraId="70216256" w14:textId="77777777" w:rsidR="00023396" w:rsidRPr="00023396" w:rsidRDefault="00023396" w:rsidP="006978D8">
      <w:pPr>
        <w:pStyle w:val="BodyText"/>
        <w:rPr>
          <w:rFonts w:asciiTheme="majorHAnsi" w:hAnsiTheme="majorHAnsi" w:cstheme="majorHAnsi"/>
          <w:szCs w:val="20"/>
        </w:rPr>
      </w:pPr>
      <w:r w:rsidRPr="00023396">
        <w:rPr>
          <w:rFonts w:asciiTheme="majorHAnsi" w:hAnsiTheme="majorHAnsi" w:cstheme="majorHAnsi"/>
          <w:b/>
          <w:bCs/>
          <w:szCs w:val="20"/>
        </w:rPr>
        <w:t>Clear Horizon Academy PWL MEL Platform:</w:t>
      </w:r>
      <w:r w:rsidRPr="00023396">
        <w:rPr>
          <w:rFonts w:asciiTheme="majorHAnsi" w:hAnsiTheme="majorHAnsi" w:cstheme="majorHAnsi"/>
          <w:szCs w:val="20"/>
        </w:rPr>
        <w:t xml:space="preserve"> PWLES has developed 3 training modules with Clear Horizon Academy to support PWL partners: </w:t>
      </w:r>
    </w:p>
    <w:p w14:paraId="4BC67F18" w14:textId="77777777" w:rsidR="00023396" w:rsidRPr="00023396" w:rsidRDefault="00023396" w:rsidP="006978D8">
      <w:pPr>
        <w:pStyle w:val="BodyText"/>
        <w:numPr>
          <w:ilvl w:val="0"/>
          <w:numId w:val="18"/>
        </w:numPr>
        <w:spacing w:after="200"/>
        <w:rPr>
          <w:rFonts w:asciiTheme="majorHAnsi" w:hAnsiTheme="majorHAnsi" w:cstheme="majorHAnsi"/>
          <w:szCs w:val="20"/>
        </w:rPr>
      </w:pPr>
      <w:r w:rsidRPr="00023396">
        <w:rPr>
          <w:rFonts w:asciiTheme="majorHAnsi" w:hAnsiTheme="majorHAnsi" w:cstheme="majorHAnsi"/>
          <w:szCs w:val="20"/>
        </w:rPr>
        <w:t xml:space="preserve">Using data for reporting and learning, </w:t>
      </w:r>
    </w:p>
    <w:p w14:paraId="19068D52" w14:textId="77777777" w:rsidR="00023396" w:rsidRPr="00023396" w:rsidRDefault="00023396" w:rsidP="006978D8">
      <w:pPr>
        <w:pStyle w:val="BodyText"/>
        <w:numPr>
          <w:ilvl w:val="0"/>
          <w:numId w:val="18"/>
        </w:numPr>
        <w:spacing w:after="200"/>
        <w:rPr>
          <w:rFonts w:asciiTheme="majorHAnsi" w:hAnsiTheme="majorHAnsi" w:cstheme="majorHAnsi"/>
          <w:szCs w:val="20"/>
        </w:rPr>
      </w:pPr>
      <w:r w:rsidRPr="00023396">
        <w:rPr>
          <w:rFonts w:asciiTheme="majorHAnsi" w:hAnsiTheme="majorHAnsi" w:cstheme="majorHAnsi"/>
          <w:szCs w:val="20"/>
        </w:rPr>
        <w:t xml:space="preserve">collecting impact stories </w:t>
      </w:r>
    </w:p>
    <w:p w14:paraId="2B682ED9" w14:textId="77777777" w:rsidR="00023396" w:rsidRPr="00023396" w:rsidRDefault="00023396" w:rsidP="006978D8">
      <w:pPr>
        <w:pStyle w:val="BodyText"/>
        <w:numPr>
          <w:ilvl w:val="0"/>
          <w:numId w:val="18"/>
        </w:numPr>
        <w:spacing w:after="200"/>
        <w:rPr>
          <w:rFonts w:asciiTheme="majorHAnsi" w:hAnsiTheme="majorHAnsi" w:cstheme="majorHAnsi"/>
          <w:szCs w:val="20"/>
        </w:rPr>
      </w:pPr>
      <w:r w:rsidRPr="00023396">
        <w:rPr>
          <w:rFonts w:asciiTheme="majorHAnsi" w:hAnsiTheme="majorHAnsi" w:cstheme="majorHAnsi"/>
          <w:szCs w:val="20"/>
        </w:rPr>
        <w:t xml:space="preserve">understanding, monitoring and reporting disability inclusion. </w:t>
      </w:r>
    </w:p>
    <w:p w14:paraId="60BDAC92" w14:textId="77777777" w:rsidR="004208F1" w:rsidRPr="00F56579" w:rsidRDefault="00023396" w:rsidP="006978D8">
      <w:pPr>
        <w:pStyle w:val="BodyText"/>
        <w:rPr>
          <w:rFonts w:asciiTheme="majorHAnsi" w:hAnsiTheme="majorHAnsi" w:cstheme="majorHAnsi"/>
          <w:szCs w:val="20"/>
        </w:rPr>
      </w:pPr>
      <w:r w:rsidRPr="00023396">
        <w:rPr>
          <w:rFonts w:asciiTheme="majorHAnsi" w:hAnsiTheme="majorHAnsi" w:cstheme="majorHAnsi"/>
          <w:szCs w:val="20"/>
        </w:rPr>
        <w:t xml:space="preserve">These are online and self-paced modules and partners can seek access through the PWLES.  </w:t>
      </w:r>
      <w:bookmarkStart w:id="32" w:name="_Toc192603205"/>
    </w:p>
    <w:p w14:paraId="06386918" w14:textId="4B85A2A7" w:rsidR="00023396" w:rsidRPr="00023396" w:rsidRDefault="00023396" w:rsidP="006978D8">
      <w:pPr>
        <w:pStyle w:val="Heading2"/>
        <w:ind w:left="851"/>
      </w:pPr>
      <w:bookmarkStart w:id="33" w:name="_Toc208711172"/>
      <w:r w:rsidRPr="00023396">
        <w:t>Quality Technical Assurance Group (QTAG)</w:t>
      </w:r>
      <w:bookmarkEnd w:id="32"/>
      <w:bookmarkEnd w:id="33"/>
    </w:p>
    <w:p w14:paraId="7F868497" w14:textId="03A43877" w:rsidR="004208F1" w:rsidRPr="00F56579" w:rsidRDefault="00023396" w:rsidP="006978D8">
      <w:pPr>
        <w:pStyle w:val="BodyText"/>
        <w:rPr>
          <w:rFonts w:asciiTheme="majorHAnsi" w:hAnsiTheme="majorHAnsi" w:cstheme="majorHAnsi"/>
          <w:szCs w:val="20"/>
        </w:rPr>
      </w:pPr>
      <w:r w:rsidRPr="00023396">
        <w:rPr>
          <w:rFonts w:asciiTheme="majorHAnsi" w:hAnsiTheme="majorHAnsi" w:cstheme="majorHAnsi"/>
          <w:szCs w:val="20"/>
        </w:rPr>
        <w:t>Through the QTAG, PWLES provides technical support to smaller DFAT Post in Tuvalu, Kiribati, FSM, Palau, Nauru, Niue, and Republic of Marshall Islands. QTAG currently offers tailored GEDSI support through consultants to smaller DFAT Posts</w:t>
      </w:r>
      <w:bookmarkStart w:id="34" w:name="_Toc192603206"/>
      <w:r w:rsidR="004208F1" w:rsidRPr="00F56579">
        <w:rPr>
          <w:rFonts w:asciiTheme="majorHAnsi" w:hAnsiTheme="majorHAnsi" w:cstheme="majorHAnsi"/>
          <w:szCs w:val="20"/>
        </w:rPr>
        <w:t>.</w:t>
      </w:r>
    </w:p>
    <w:p w14:paraId="388AAEAF" w14:textId="45203463" w:rsidR="00023396" w:rsidRPr="00023396" w:rsidRDefault="00023396" w:rsidP="006978D8">
      <w:pPr>
        <w:pStyle w:val="Heading2"/>
        <w:ind w:left="851"/>
      </w:pPr>
      <w:bookmarkStart w:id="35" w:name="_Toc208711173"/>
      <w:r w:rsidRPr="00023396">
        <w:t>Grant management</w:t>
      </w:r>
      <w:bookmarkEnd w:id="34"/>
      <w:bookmarkEnd w:id="35"/>
      <w:r w:rsidRPr="00023396">
        <w:t xml:space="preserve"> </w:t>
      </w:r>
    </w:p>
    <w:p w14:paraId="3B5C4239" w14:textId="77777777" w:rsidR="00023396" w:rsidRPr="00023396" w:rsidRDefault="00023396" w:rsidP="006978D8">
      <w:pPr>
        <w:pStyle w:val="BodyText"/>
        <w:rPr>
          <w:rFonts w:asciiTheme="majorHAnsi" w:hAnsiTheme="majorHAnsi" w:cstheme="majorHAnsi"/>
          <w:szCs w:val="20"/>
        </w:rPr>
      </w:pPr>
      <w:r w:rsidRPr="00023396">
        <w:rPr>
          <w:rFonts w:asciiTheme="majorHAnsi" w:hAnsiTheme="majorHAnsi" w:cstheme="majorHAnsi"/>
          <w:szCs w:val="20"/>
        </w:rPr>
        <w:t>PWLES provides program management support to DFAT Posts in smaller countries. Currently, PWLES provides grant management support to:</w:t>
      </w:r>
    </w:p>
    <w:p w14:paraId="5D654598" w14:textId="77777777" w:rsidR="00023396" w:rsidRPr="00023396" w:rsidRDefault="00023396" w:rsidP="006978D8">
      <w:pPr>
        <w:pStyle w:val="BodyText"/>
        <w:numPr>
          <w:ilvl w:val="0"/>
          <w:numId w:val="19"/>
        </w:numPr>
        <w:rPr>
          <w:rFonts w:asciiTheme="majorHAnsi" w:hAnsiTheme="majorHAnsi" w:cstheme="majorHAnsi"/>
          <w:szCs w:val="20"/>
        </w:rPr>
      </w:pPr>
      <w:r w:rsidRPr="00023396">
        <w:rPr>
          <w:rFonts w:asciiTheme="majorHAnsi" w:hAnsiTheme="majorHAnsi" w:cstheme="majorHAnsi"/>
          <w:szCs w:val="20"/>
        </w:rPr>
        <w:t xml:space="preserve">Two regional programs: Balance of Power and We Rise Coalition Phase 3, </w:t>
      </w:r>
    </w:p>
    <w:p w14:paraId="112BBD9A" w14:textId="77777777" w:rsidR="00023396" w:rsidRPr="00023396" w:rsidRDefault="00023396" w:rsidP="006978D8">
      <w:pPr>
        <w:pStyle w:val="BodyText"/>
        <w:numPr>
          <w:ilvl w:val="0"/>
          <w:numId w:val="19"/>
        </w:numPr>
        <w:rPr>
          <w:rFonts w:asciiTheme="majorHAnsi" w:hAnsiTheme="majorHAnsi" w:cstheme="majorHAnsi"/>
          <w:szCs w:val="20"/>
        </w:rPr>
      </w:pPr>
      <w:r w:rsidRPr="00023396">
        <w:rPr>
          <w:rFonts w:asciiTheme="majorHAnsi" w:hAnsiTheme="majorHAnsi" w:cstheme="majorHAnsi"/>
          <w:szCs w:val="20"/>
        </w:rPr>
        <w:t xml:space="preserve">Three projects in Tuvalu (funded through the Tuvalu DFAT Post Gender Country Plan), and </w:t>
      </w:r>
    </w:p>
    <w:p w14:paraId="46D97082" w14:textId="77777777" w:rsidR="00EE5F9A" w:rsidRPr="00F56579" w:rsidRDefault="00023396" w:rsidP="006978D8">
      <w:pPr>
        <w:pStyle w:val="BodyText"/>
        <w:numPr>
          <w:ilvl w:val="0"/>
          <w:numId w:val="19"/>
        </w:numPr>
        <w:rPr>
          <w:rFonts w:asciiTheme="majorHAnsi" w:hAnsiTheme="majorHAnsi" w:cstheme="majorHAnsi"/>
          <w:szCs w:val="20"/>
        </w:rPr>
      </w:pPr>
      <w:r w:rsidRPr="00023396">
        <w:rPr>
          <w:rFonts w:asciiTheme="majorHAnsi" w:hAnsiTheme="majorHAnsi" w:cstheme="majorHAnsi"/>
          <w:szCs w:val="20"/>
        </w:rPr>
        <w:t xml:space="preserve">Management of Gender Advisers in Tuvalu (Gender Equality and Social Inclusion Adviser), FSM (Family Protection Adviser) and Palau (Family Protection Act Adviser). </w:t>
      </w:r>
      <w:bookmarkStart w:id="36" w:name="_Toc192603207"/>
    </w:p>
    <w:p w14:paraId="0E2520D1" w14:textId="1B4F28B5" w:rsidR="00023396" w:rsidRPr="00023396" w:rsidRDefault="00023396" w:rsidP="006978D8">
      <w:pPr>
        <w:pStyle w:val="Heading2"/>
        <w:ind w:left="851"/>
      </w:pPr>
      <w:bookmarkStart w:id="37" w:name="_Toc208711174"/>
      <w:r w:rsidRPr="00023396">
        <w:t>Contact and feedback</w:t>
      </w:r>
      <w:bookmarkEnd w:id="36"/>
      <w:bookmarkEnd w:id="37"/>
    </w:p>
    <w:p w14:paraId="21A2E904" w14:textId="77777777" w:rsidR="004B4389" w:rsidRDefault="00023396" w:rsidP="006978D8">
      <w:pPr>
        <w:pStyle w:val="BodyText"/>
        <w:sectPr w:rsidR="004B4389" w:rsidSect="00491EEE">
          <w:headerReference w:type="default" r:id="rId23"/>
          <w:footerReference w:type="default" r:id="rId24"/>
          <w:pgSz w:w="11906" w:h="16840" w:code="9"/>
          <w:pgMar w:top="1152" w:right="991" w:bottom="1152" w:left="1276" w:header="562" w:footer="562" w:gutter="0"/>
          <w:pgNumType w:start="1"/>
          <w:cols w:space="720"/>
          <w:docGrid w:linePitch="360"/>
        </w:sectPr>
      </w:pPr>
      <w:r w:rsidRPr="00023396">
        <w:rPr>
          <w:rFonts w:asciiTheme="majorHAnsi" w:hAnsiTheme="majorHAnsi" w:cstheme="majorHAnsi"/>
          <w:szCs w:val="20"/>
        </w:rPr>
        <w:t>If you have questions or feedback on this country brief, please contact Junita Ngai (MEL Manager, PWLES) at</w:t>
      </w:r>
      <w:bookmarkEnd w:id="8"/>
      <w:r w:rsidR="002961C6">
        <w:t xml:space="preserve"> </w:t>
      </w:r>
      <w:hyperlink r:id="rId25" w:history="1">
        <w:r w:rsidR="002961C6" w:rsidRPr="001C22E6">
          <w:rPr>
            <w:rStyle w:val="Hyperlink"/>
            <w:rFonts w:asciiTheme="minorHAnsi" w:hAnsiTheme="minorHAnsi"/>
          </w:rPr>
          <w:t>info@pwles.org</w:t>
        </w:r>
      </w:hyperlink>
      <w:r w:rsidR="002961C6">
        <w:t xml:space="preserve"> </w:t>
      </w:r>
    </w:p>
    <w:p w14:paraId="578DDE52" w14:textId="534BF5D8" w:rsidR="00030A3F" w:rsidRDefault="008A44B9" w:rsidP="006978D8">
      <w:pPr>
        <w:pStyle w:val="Heading1"/>
      </w:pPr>
      <w:bookmarkStart w:id="38" w:name="_Ref191372266"/>
      <w:bookmarkStart w:id="39" w:name="_Toc208711175"/>
      <w:r w:rsidRPr="00011D21">
        <w:lastRenderedPageBreak/>
        <w:t>Annex</w:t>
      </w:r>
      <w:r>
        <w:t xml:space="preserve"> 1 </w:t>
      </w:r>
      <w:r w:rsidR="004B4389">
        <w:t xml:space="preserve">Cumulative reach data (2021 – present) for DFAT bilateral </w:t>
      </w:r>
      <w:bookmarkEnd w:id="38"/>
      <w:r w:rsidR="00030A3F">
        <w:t>grants</w:t>
      </w:r>
      <w:bookmarkEnd w:id="39"/>
    </w:p>
    <w:p w14:paraId="7914CCD7" w14:textId="17591261" w:rsidR="00030A3F" w:rsidRDefault="00030A3F" w:rsidP="006978D8">
      <w:pPr>
        <w:pStyle w:val="BodyText"/>
        <w:rPr>
          <w:b/>
          <w:bCs/>
        </w:rPr>
      </w:pPr>
      <w:r w:rsidRPr="00030A3F">
        <w:rPr>
          <w:b/>
          <w:bCs/>
        </w:rPr>
        <w:t>Table 6: Cumulative reach data (2021 – present) for DFAT bilateral grants</w:t>
      </w:r>
    </w:p>
    <w:tbl>
      <w:tblPr>
        <w:tblW w:w="16018" w:type="dxa"/>
        <w:tblInd w:w="-714" w:type="dxa"/>
        <w:tblBorders>
          <w:bottom w:val="single" w:sz="4" w:space="0" w:color="auto"/>
          <w:insideH w:val="single" w:sz="4" w:space="0" w:color="auto"/>
        </w:tblBorders>
        <w:tblLayout w:type="fixed"/>
        <w:tblLook w:val="04A0" w:firstRow="1" w:lastRow="0" w:firstColumn="1" w:lastColumn="0" w:noHBand="0" w:noVBand="1"/>
      </w:tblPr>
      <w:tblGrid>
        <w:gridCol w:w="2127"/>
        <w:gridCol w:w="1721"/>
        <w:gridCol w:w="939"/>
        <w:gridCol w:w="1250"/>
        <w:gridCol w:w="561"/>
        <w:gridCol w:w="1250"/>
        <w:gridCol w:w="661"/>
        <w:gridCol w:w="1250"/>
        <w:gridCol w:w="1015"/>
        <w:gridCol w:w="1275"/>
        <w:gridCol w:w="1276"/>
        <w:gridCol w:w="1701"/>
        <w:gridCol w:w="992"/>
      </w:tblGrid>
      <w:tr w:rsidR="00536C0F" w:rsidRPr="00536C0F" w14:paraId="42DDD303" w14:textId="77777777" w:rsidTr="00B97657">
        <w:trPr>
          <w:trHeight w:val="190"/>
        </w:trPr>
        <w:tc>
          <w:tcPr>
            <w:tcW w:w="2127" w:type="dxa"/>
            <w:shd w:val="clear" w:color="auto" w:fill="006699"/>
            <w:vAlign w:val="center"/>
            <w:hideMark/>
          </w:tcPr>
          <w:p w14:paraId="5F841182" w14:textId="32379D58" w:rsidR="00536C0F" w:rsidRPr="00011D21" w:rsidRDefault="00536C0F" w:rsidP="006978D8">
            <w:pPr>
              <w:spacing w:after="0"/>
              <w:jc w:val="left"/>
              <w:rPr>
                <w:rFonts w:asciiTheme="majorHAnsi" w:eastAsia="Times New Roman" w:hAnsiTheme="majorHAnsi" w:cstheme="majorHAnsi"/>
                <w:b/>
                <w:bCs/>
                <w:color w:val="FFFFFF"/>
                <w:sz w:val="20"/>
                <w:szCs w:val="20"/>
              </w:rPr>
            </w:pPr>
            <w:r w:rsidRPr="00011D21">
              <w:rPr>
                <w:rFonts w:asciiTheme="majorHAnsi" w:eastAsia="Times New Roman" w:hAnsiTheme="majorHAnsi" w:cstheme="majorHAnsi"/>
                <w:b/>
                <w:bCs/>
                <w:color w:val="FFFFFF"/>
                <w:sz w:val="20"/>
                <w:szCs w:val="20"/>
              </w:rPr>
              <w:t>Project Title</w:t>
            </w:r>
          </w:p>
        </w:tc>
        <w:tc>
          <w:tcPr>
            <w:tcW w:w="1721" w:type="dxa"/>
            <w:shd w:val="clear" w:color="auto" w:fill="006699"/>
            <w:vAlign w:val="center"/>
            <w:hideMark/>
          </w:tcPr>
          <w:p w14:paraId="68A08BF4" w14:textId="77777777" w:rsidR="00536C0F" w:rsidRPr="00011D21" w:rsidRDefault="00536C0F" w:rsidP="006978D8">
            <w:pPr>
              <w:spacing w:after="0"/>
              <w:jc w:val="left"/>
              <w:rPr>
                <w:rFonts w:asciiTheme="majorHAnsi" w:eastAsia="Times New Roman" w:hAnsiTheme="majorHAnsi" w:cstheme="majorHAnsi"/>
                <w:b/>
                <w:bCs/>
                <w:color w:val="FFFFFF"/>
                <w:sz w:val="20"/>
                <w:szCs w:val="20"/>
              </w:rPr>
            </w:pPr>
            <w:r w:rsidRPr="00011D21">
              <w:rPr>
                <w:rFonts w:asciiTheme="majorHAnsi" w:eastAsia="Times New Roman" w:hAnsiTheme="majorHAnsi" w:cstheme="majorHAnsi"/>
                <w:b/>
                <w:bCs/>
                <w:color w:val="FFFFFF"/>
                <w:sz w:val="20"/>
                <w:szCs w:val="20"/>
              </w:rPr>
              <w:t>Indicators</w:t>
            </w:r>
          </w:p>
        </w:tc>
        <w:tc>
          <w:tcPr>
            <w:tcW w:w="939" w:type="dxa"/>
            <w:shd w:val="clear" w:color="auto" w:fill="006699"/>
            <w:vAlign w:val="center"/>
            <w:hideMark/>
          </w:tcPr>
          <w:p w14:paraId="722606C6" w14:textId="77777777" w:rsidR="00536C0F" w:rsidRPr="00011D21" w:rsidRDefault="00536C0F" w:rsidP="006978D8">
            <w:pPr>
              <w:spacing w:after="0"/>
              <w:jc w:val="left"/>
              <w:rPr>
                <w:rFonts w:asciiTheme="majorHAnsi" w:eastAsia="Times New Roman" w:hAnsiTheme="majorHAnsi" w:cstheme="majorHAnsi"/>
                <w:b/>
                <w:bCs/>
                <w:color w:val="FFFFFF"/>
                <w:sz w:val="20"/>
                <w:szCs w:val="20"/>
              </w:rPr>
            </w:pPr>
            <w:r w:rsidRPr="00011D21">
              <w:rPr>
                <w:rFonts w:asciiTheme="majorHAnsi" w:eastAsia="Times New Roman" w:hAnsiTheme="majorHAnsi" w:cstheme="majorHAnsi"/>
                <w:b/>
                <w:bCs/>
                <w:color w:val="FFFFFF"/>
                <w:sz w:val="20"/>
                <w:szCs w:val="20"/>
              </w:rPr>
              <w:t>Women</w:t>
            </w:r>
          </w:p>
        </w:tc>
        <w:tc>
          <w:tcPr>
            <w:tcW w:w="1250" w:type="dxa"/>
            <w:shd w:val="clear" w:color="auto" w:fill="006699"/>
            <w:vAlign w:val="center"/>
            <w:hideMark/>
          </w:tcPr>
          <w:p w14:paraId="37DED2CA" w14:textId="77777777" w:rsidR="00536C0F" w:rsidRPr="00011D21" w:rsidRDefault="00536C0F" w:rsidP="006978D8">
            <w:pPr>
              <w:spacing w:after="0"/>
              <w:jc w:val="left"/>
              <w:rPr>
                <w:rFonts w:asciiTheme="majorHAnsi" w:eastAsia="Times New Roman" w:hAnsiTheme="majorHAnsi" w:cstheme="majorHAnsi"/>
                <w:b/>
                <w:bCs/>
                <w:color w:val="FFFFFF"/>
                <w:sz w:val="20"/>
                <w:szCs w:val="20"/>
              </w:rPr>
            </w:pPr>
            <w:r w:rsidRPr="00011D21">
              <w:rPr>
                <w:rFonts w:asciiTheme="majorHAnsi" w:eastAsia="Times New Roman" w:hAnsiTheme="majorHAnsi" w:cstheme="majorHAnsi"/>
                <w:b/>
                <w:bCs/>
                <w:color w:val="FFFFFF"/>
                <w:sz w:val="20"/>
                <w:szCs w:val="20"/>
              </w:rPr>
              <w:t>Women with disabilities</w:t>
            </w:r>
          </w:p>
        </w:tc>
        <w:tc>
          <w:tcPr>
            <w:tcW w:w="561" w:type="dxa"/>
            <w:shd w:val="clear" w:color="auto" w:fill="006699"/>
            <w:vAlign w:val="center"/>
            <w:hideMark/>
          </w:tcPr>
          <w:p w14:paraId="7A4968C5" w14:textId="77777777" w:rsidR="00536C0F" w:rsidRPr="00011D21" w:rsidRDefault="00536C0F" w:rsidP="006978D8">
            <w:pPr>
              <w:spacing w:after="0"/>
              <w:jc w:val="left"/>
              <w:rPr>
                <w:rFonts w:asciiTheme="majorHAnsi" w:eastAsia="Times New Roman" w:hAnsiTheme="majorHAnsi" w:cstheme="majorHAnsi"/>
                <w:b/>
                <w:bCs/>
                <w:color w:val="FFFFFF"/>
                <w:sz w:val="20"/>
                <w:szCs w:val="20"/>
              </w:rPr>
            </w:pPr>
            <w:r w:rsidRPr="00011D21">
              <w:rPr>
                <w:rFonts w:asciiTheme="majorHAnsi" w:eastAsia="Times New Roman" w:hAnsiTheme="majorHAnsi" w:cstheme="majorHAnsi"/>
                <w:b/>
                <w:bCs/>
                <w:color w:val="FFFFFF"/>
                <w:sz w:val="20"/>
                <w:szCs w:val="20"/>
              </w:rPr>
              <w:t>Girl</w:t>
            </w:r>
          </w:p>
        </w:tc>
        <w:tc>
          <w:tcPr>
            <w:tcW w:w="1250" w:type="dxa"/>
            <w:shd w:val="clear" w:color="auto" w:fill="006699"/>
            <w:vAlign w:val="center"/>
            <w:hideMark/>
          </w:tcPr>
          <w:p w14:paraId="6D454227" w14:textId="77777777" w:rsidR="00536C0F" w:rsidRPr="00011D21" w:rsidRDefault="00536C0F" w:rsidP="006978D8">
            <w:pPr>
              <w:spacing w:after="0"/>
              <w:jc w:val="left"/>
              <w:rPr>
                <w:rFonts w:asciiTheme="majorHAnsi" w:eastAsia="Times New Roman" w:hAnsiTheme="majorHAnsi" w:cstheme="majorHAnsi"/>
                <w:b/>
                <w:bCs/>
                <w:color w:val="FFFFFF"/>
                <w:sz w:val="20"/>
                <w:szCs w:val="20"/>
              </w:rPr>
            </w:pPr>
            <w:r w:rsidRPr="00011D21">
              <w:rPr>
                <w:rFonts w:asciiTheme="majorHAnsi" w:eastAsia="Times New Roman" w:hAnsiTheme="majorHAnsi" w:cstheme="majorHAnsi"/>
                <w:b/>
                <w:bCs/>
                <w:color w:val="FFFFFF"/>
                <w:sz w:val="20"/>
                <w:szCs w:val="20"/>
              </w:rPr>
              <w:t>Girls with disabilities</w:t>
            </w:r>
          </w:p>
        </w:tc>
        <w:tc>
          <w:tcPr>
            <w:tcW w:w="661" w:type="dxa"/>
            <w:shd w:val="clear" w:color="auto" w:fill="006699"/>
            <w:vAlign w:val="center"/>
            <w:hideMark/>
          </w:tcPr>
          <w:p w14:paraId="1507C449" w14:textId="77777777" w:rsidR="00536C0F" w:rsidRPr="00011D21" w:rsidRDefault="00536C0F" w:rsidP="006978D8">
            <w:pPr>
              <w:spacing w:after="0"/>
              <w:jc w:val="left"/>
              <w:rPr>
                <w:rFonts w:asciiTheme="majorHAnsi" w:eastAsia="Times New Roman" w:hAnsiTheme="majorHAnsi" w:cstheme="majorHAnsi"/>
                <w:b/>
                <w:bCs/>
                <w:color w:val="FFFFFF"/>
                <w:sz w:val="20"/>
                <w:szCs w:val="20"/>
              </w:rPr>
            </w:pPr>
            <w:r w:rsidRPr="00011D21">
              <w:rPr>
                <w:rFonts w:asciiTheme="majorHAnsi" w:eastAsia="Times New Roman" w:hAnsiTheme="majorHAnsi" w:cstheme="majorHAnsi"/>
                <w:b/>
                <w:bCs/>
                <w:color w:val="FFFFFF"/>
                <w:sz w:val="20"/>
                <w:szCs w:val="20"/>
              </w:rPr>
              <w:t>Men</w:t>
            </w:r>
          </w:p>
        </w:tc>
        <w:tc>
          <w:tcPr>
            <w:tcW w:w="1250" w:type="dxa"/>
            <w:shd w:val="clear" w:color="auto" w:fill="006699"/>
            <w:vAlign w:val="center"/>
            <w:hideMark/>
          </w:tcPr>
          <w:p w14:paraId="6601F092" w14:textId="77777777" w:rsidR="00536C0F" w:rsidRPr="00011D21" w:rsidRDefault="00536C0F" w:rsidP="006978D8">
            <w:pPr>
              <w:spacing w:after="0"/>
              <w:jc w:val="left"/>
              <w:rPr>
                <w:rFonts w:asciiTheme="majorHAnsi" w:eastAsia="Times New Roman" w:hAnsiTheme="majorHAnsi" w:cstheme="majorHAnsi"/>
                <w:b/>
                <w:bCs/>
                <w:color w:val="FFFFFF"/>
                <w:sz w:val="20"/>
                <w:szCs w:val="20"/>
              </w:rPr>
            </w:pPr>
            <w:r w:rsidRPr="00011D21">
              <w:rPr>
                <w:rFonts w:asciiTheme="majorHAnsi" w:eastAsia="Times New Roman" w:hAnsiTheme="majorHAnsi" w:cstheme="majorHAnsi"/>
                <w:b/>
                <w:bCs/>
                <w:color w:val="FFFFFF"/>
                <w:sz w:val="20"/>
                <w:szCs w:val="20"/>
              </w:rPr>
              <w:t>Men with disabilities</w:t>
            </w:r>
          </w:p>
        </w:tc>
        <w:tc>
          <w:tcPr>
            <w:tcW w:w="1015" w:type="dxa"/>
            <w:shd w:val="clear" w:color="auto" w:fill="006699"/>
            <w:vAlign w:val="center"/>
            <w:hideMark/>
          </w:tcPr>
          <w:p w14:paraId="7376F8E3" w14:textId="77777777" w:rsidR="00536C0F" w:rsidRPr="00011D21" w:rsidRDefault="00536C0F" w:rsidP="006978D8">
            <w:pPr>
              <w:spacing w:after="0"/>
              <w:jc w:val="left"/>
              <w:rPr>
                <w:rFonts w:asciiTheme="majorHAnsi" w:eastAsia="Times New Roman" w:hAnsiTheme="majorHAnsi" w:cstheme="majorHAnsi"/>
                <w:b/>
                <w:bCs/>
                <w:color w:val="FFFFFF"/>
                <w:sz w:val="20"/>
                <w:szCs w:val="20"/>
              </w:rPr>
            </w:pPr>
            <w:r w:rsidRPr="00011D21">
              <w:rPr>
                <w:rFonts w:asciiTheme="majorHAnsi" w:eastAsia="Times New Roman" w:hAnsiTheme="majorHAnsi" w:cstheme="majorHAnsi"/>
                <w:b/>
                <w:bCs/>
                <w:color w:val="FFFFFF"/>
                <w:sz w:val="20"/>
                <w:szCs w:val="20"/>
              </w:rPr>
              <w:t>Boys</w:t>
            </w:r>
          </w:p>
        </w:tc>
        <w:tc>
          <w:tcPr>
            <w:tcW w:w="1275" w:type="dxa"/>
            <w:shd w:val="clear" w:color="auto" w:fill="006699"/>
            <w:vAlign w:val="center"/>
            <w:hideMark/>
          </w:tcPr>
          <w:p w14:paraId="3637133A" w14:textId="77777777" w:rsidR="00536C0F" w:rsidRPr="00011D21" w:rsidRDefault="00536C0F" w:rsidP="006978D8">
            <w:pPr>
              <w:spacing w:after="0"/>
              <w:jc w:val="left"/>
              <w:rPr>
                <w:rFonts w:asciiTheme="majorHAnsi" w:eastAsia="Times New Roman" w:hAnsiTheme="majorHAnsi" w:cstheme="majorHAnsi"/>
                <w:b/>
                <w:bCs/>
                <w:color w:val="FFFFFF"/>
                <w:sz w:val="20"/>
                <w:szCs w:val="20"/>
              </w:rPr>
            </w:pPr>
            <w:r w:rsidRPr="00011D21">
              <w:rPr>
                <w:rFonts w:asciiTheme="majorHAnsi" w:eastAsia="Times New Roman" w:hAnsiTheme="majorHAnsi" w:cstheme="majorHAnsi"/>
                <w:b/>
                <w:bCs/>
                <w:color w:val="FFFFFF"/>
                <w:sz w:val="20"/>
                <w:szCs w:val="20"/>
              </w:rPr>
              <w:t>Boys with disabilities</w:t>
            </w:r>
          </w:p>
        </w:tc>
        <w:tc>
          <w:tcPr>
            <w:tcW w:w="1276" w:type="dxa"/>
            <w:shd w:val="clear" w:color="auto" w:fill="006699"/>
            <w:vAlign w:val="center"/>
            <w:hideMark/>
          </w:tcPr>
          <w:p w14:paraId="79E96E29" w14:textId="77777777" w:rsidR="00536C0F" w:rsidRPr="00011D21" w:rsidRDefault="00536C0F" w:rsidP="006978D8">
            <w:pPr>
              <w:spacing w:after="0"/>
              <w:jc w:val="left"/>
              <w:rPr>
                <w:rFonts w:asciiTheme="majorHAnsi" w:eastAsia="Times New Roman" w:hAnsiTheme="majorHAnsi" w:cstheme="majorHAnsi"/>
                <w:b/>
                <w:bCs/>
                <w:color w:val="FFFFFF"/>
                <w:sz w:val="20"/>
                <w:szCs w:val="20"/>
              </w:rPr>
            </w:pPr>
            <w:r w:rsidRPr="00011D21">
              <w:rPr>
                <w:rFonts w:asciiTheme="majorHAnsi" w:eastAsia="Times New Roman" w:hAnsiTheme="majorHAnsi" w:cstheme="majorHAnsi"/>
                <w:b/>
                <w:bCs/>
                <w:color w:val="FFFFFF"/>
                <w:sz w:val="20"/>
                <w:szCs w:val="20"/>
              </w:rPr>
              <w:t>LGBTQIA+</w:t>
            </w:r>
          </w:p>
        </w:tc>
        <w:tc>
          <w:tcPr>
            <w:tcW w:w="1701" w:type="dxa"/>
            <w:shd w:val="clear" w:color="auto" w:fill="006699"/>
            <w:vAlign w:val="center"/>
            <w:hideMark/>
          </w:tcPr>
          <w:p w14:paraId="0B340FC9" w14:textId="77777777" w:rsidR="00536C0F" w:rsidRPr="00011D21" w:rsidRDefault="00536C0F" w:rsidP="006978D8">
            <w:pPr>
              <w:spacing w:after="0"/>
              <w:jc w:val="left"/>
              <w:rPr>
                <w:rFonts w:asciiTheme="majorHAnsi" w:eastAsia="Times New Roman" w:hAnsiTheme="majorHAnsi" w:cstheme="majorHAnsi"/>
                <w:b/>
                <w:bCs/>
                <w:color w:val="FFFFFF"/>
                <w:sz w:val="20"/>
                <w:szCs w:val="20"/>
              </w:rPr>
            </w:pPr>
            <w:r w:rsidRPr="00011D21">
              <w:rPr>
                <w:rFonts w:asciiTheme="majorHAnsi" w:eastAsia="Times New Roman" w:hAnsiTheme="majorHAnsi" w:cstheme="majorHAnsi"/>
                <w:b/>
                <w:bCs/>
                <w:color w:val="FFFFFF"/>
                <w:sz w:val="20"/>
                <w:szCs w:val="20"/>
              </w:rPr>
              <w:t>Not disaggregated</w:t>
            </w:r>
          </w:p>
        </w:tc>
        <w:tc>
          <w:tcPr>
            <w:tcW w:w="992" w:type="dxa"/>
            <w:shd w:val="clear" w:color="auto" w:fill="006699"/>
            <w:vAlign w:val="center"/>
            <w:hideMark/>
          </w:tcPr>
          <w:p w14:paraId="674E5348" w14:textId="77777777" w:rsidR="00536C0F" w:rsidRPr="00011D21" w:rsidRDefault="00536C0F" w:rsidP="006978D8">
            <w:pPr>
              <w:spacing w:after="0"/>
              <w:jc w:val="left"/>
              <w:rPr>
                <w:rFonts w:asciiTheme="majorHAnsi" w:eastAsia="Times New Roman" w:hAnsiTheme="majorHAnsi" w:cstheme="majorHAnsi"/>
                <w:b/>
                <w:bCs/>
                <w:color w:val="FFFFFF"/>
                <w:sz w:val="20"/>
                <w:szCs w:val="20"/>
              </w:rPr>
            </w:pPr>
            <w:r w:rsidRPr="00011D21">
              <w:rPr>
                <w:rFonts w:asciiTheme="majorHAnsi" w:eastAsia="Times New Roman" w:hAnsiTheme="majorHAnsi" w:cstheme="majorHAnsi"/>
                <w:b/>
                <w:bCs/>
                <w:color w:val="FFFFFF"/>
                <w:sz w:val="20"/>
                <w:szCs w:val="20"/>
              </w:rPr>
              <w:t>Total</w:t>
            </w:r>
          </w:p>
        </w:tc>
      </w:tr>
      <w:tr w:rsidR="00B97657" w:rsidRPr="00536C0F" w14:paraId="7184DFD5" w14:textId="77777777" w:rsidTr="00B97657">
        <w:trPr>
          <w:trHeight w:val="1200"/>
        </w:trPr>
        <w:tc>
          <w:tcPr>
            <w:tcW w:w="2127" w:type="dxa"/>
            <w:hideMark/>
          </w:tcPr>
          <w:p w14:paraId="52F4FC7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Channels of Hope Phase 3</w:t>
            </w:r>
          </w:p>
        </w:tc>
        <w:tc>
          <w:tcPr>
            <w:tcW w:w="1721" w:type="dxa"/>
            <w:hideMark/>
          </w:tcPr>
          <w:p w14:paraId="1B86746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Diverse women and girls supported to assume a leadership role</w:t>
            </w:r>
          </w:p>
        </w:tc>
        <w:tc>
          <w:tcPr>
            <w:tcW w:w="939" w:type="dxa"/>
            <w:vAlign w:val="center"/>
            <w:hideMark/>
          </w:tcPr>
          <w:p w14:paraId="102BF04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53</w:t>
            </w:r>
          </w:p>
        </w:tc>
        <w:tc>
          <w:tcPr>
            <w:tcW w:w="1250" w:type="dxa"/>
            <w:vAlign w:val="center"/>
            <w:hideMark/>
          </w:tcPr>
          <w:p w14:paraId="00ADA65E"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561" w:type="dxa"/>
            <w:vAlign w:val="center"/>
            <w:hideMark/>
          </w:tcPr>
          <w:p w14:paraId="20D41E1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04925BAE"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7DD3D79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88</w:t>
            </w:r>
          </w:p>
        </w:tc>
        <w:tc>
          <w:tcPr>
            <w:tcW w:w="1250" w:type="dxa"/>
            <w:vAlign w:val="center"/>
            <w:hideMark/>
          </w:tcPr>
          <w:p w14:paraId="4302DF50"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015" w:type="dxa"/>
            <w:vAlign w:val="center"/>
            <w:hideMark/>
          </w:tcPr>
          <w:p w14:paraId="603DD04F"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3E6D5525"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03683C3E"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50DBDB2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992" w:type="dxa"/>
            <w:vAlign w:val="center"/>
            <w:hideMark/>
          </w:tcPr>
          <w:p w14:paraId="1D73760F"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141</w:t>
            </w:r>
          </w:p>
        </w:tc>
      </w:tr>
      <w:tr w:rsidR="00B97657" w:rsidRPr="00536C0F" w14:paraId="6D3C5392" w14:textId="77777777" w:rsidTr="00B97657">
        <w:trPr>
          <w:trHeight w:val="1680"/>
        </w:trPr>
        <w:tc>
          <w:tcPr>
            <w:tcW w:w="2127" w:type="dxa"/>
            <w:hideMark/>
          </w:tcPr>
          <w:p w14:paraId="118BEC0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Channels of Hope Phase 3</w:t>
            </w:r>
          </w:p>
        </w:tc>
        <w:tc>
          <w:tcPr>
            <w:tcW w:w="1721" w:type="dxa"/>
            <w:hideMark/>
          </w:tcPr>
          <w:p w14:paraId="3FEAE046"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Diverse women entrepreneurs provided with financial and/or business development services</w:t>
            </w:r>
          </w:p>
        </w:tc>
        <w:tc>
          <w:tcPr>
            <w:tcW w:w="939" w:type="dxa"/>
            <w:vAlign w:val="center"/>
            <w:hideMark/>
          </w:tcPr>
          <w:p w14:paraId="30AAB07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277</w:t>
            </w:r>
          </w:p>
        </w:tc>
        <w:tc>
          <w:tcPr>
            <w:tcW w:w="1250" w:type="dxa"/>
            <w:vAlign w:val="center"/>
            <w:hideMark/>
          </w:tcPr>
          <w:p w14:paraId="1F400F82"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561" w:type="dxa"/>
            <w:vAlign w:val="center"/>
            <w:hideMark/>
          </w:tcPr>
          <w:p w14:paraId="779FBEFF"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466F357F"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33642287"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220</w:t>
            </w:r>
          </w:p>
        </w:tc>
        <w:tc>
          <w:tcPr>
            <w:tcW w:w="1250" w:type="dxa"/>
            <w:vAlign w:val="center"/>
            <w:hideMark/>
          </w:tcPr>
          <w:p w14:paraId="238D6345"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015" w:type="dxa"/>
            <w:vAlign w:val="center"/>
            <w:hideMark/>
          </w:tcPr>
          <w:p w14:paraId="022619D3"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0AB95945"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03A26697"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0846740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992" w:type="dxa"/>
            <w:vAlign w:val="center"/>
            <w:hideMark/>
          </w:tcPr>
          <w:p w14:paraId="11DD2E0D"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497</w:t>
            </w:r>
          </w:p>
        </w:tc>
      </w:tr>
      <w:tr w:rsidR="00B97657" w:rsidRPr="00536C0F" w14:paraId="75DEB0D0" w14:textId="77777777" w:rsidTr="00B97657">
        <w:trPr>
          <w:trHeight w:val="1200"/>
        </w:trPr>
        <w:tc>
          <w:tcPr>
            <w:tcW w:w="2127" w:type="dxa"/>
            <w:hideMark/>
          </w:tcPr>
          <w:p w14:paraId="3E5EF51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Channels of Hope Phase 3</w:t>
            </w:r>
          </w:p>
        </w:tc>
        <w:tc>
          <w:tcPr>
            <w:tcW w:w="1721" w:type="dxa"/>
            <w:hideMark/>
          </w:tcPr>
          <w:p w14:paraId="5BED9546"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Number of men who have undertaken male advocacy training</w:t>
            </w:r>
          </w:p>
        </w:tc>
        <w:tc>
          <w:tcPr>
            <w:tcW w:w="939" w:type="dxa"/>
            <w:vAlign w:val="center"/>
            <w:hideMark/>
          </w:tcPr>
          <w:p w14:paraId="44848C6D"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250" w:type="dxa"/>
            <w:vAlign w:val="center"/>
            <w:hideMark/>
          </w:tcPr>
          <w:p w14:paraId="2C0BFDF3" w14:textId="77777777" w:rsidR="00536C0F" w:rsidRPr="00011D21" w:rsidRDefault="00536C0F" w:rsidP="006978D8">
            <w:pPr>
              <w:spacing w:after="0"/>
              <w:jc w:val="left"/>
              <w:rPr>
                <w:rFonts w:asciiTheme="majorHAnsi" w:eastAsia="Times New Roman" w:hAnsiTheme="majorHAnsi" w:cstheme="majorHAnsi"/>
                <w:sz w:val="20"/>
                <w:szCs w:val="20"/>
              </w:rPr>
            </w:pPr>
          </w:p>
        </w:tc>
        <w:tc>
          <w:tcPr>
            <w:tcW w:w="561" w:type="dxa"/>
            <w:vAlign w:val="center"/>
            <w:hideMark/>
          </w:tcPr>
          <w:p w14:paraId="631A30A3"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7EC8C37D"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7700904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31</w:t>
            </w:r>
          </w:p>
        </w:tc>
        <w:tc>
          <w:tcPr>
            <w:tcW w:w="1250" w:type="dxa"/>
            <w:vAlign w:val="center"/>
            <w:hideMark/>
          </w:tcPr>
          <w:p w14:paraId="6BAC46B7"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10</w:t>
            </w:r>
          </w:p>
        </w:tc>
        <w:tc>
          <w:tcPr>
            <w:tcW w:w="1015" w:type="dxa"/>
            <w:vAlign w:val="center"/>
            <w:hideMark/>
          </w:tcPr>
          <w:p w14:paraId="4B21C09B"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68E6EA53"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7DB86131"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25759C5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992" w:type="dxa"/>
            <w:vAlign w:val="center"/>
            <w:hideMark/>
          </w:tcPr>
          <w:p w14:paraId="2BFBCC70"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41</w:t>
            </w:r>
          </w:p>
        </w:tc>
      </w:tr>
      <w:tr w:rsidR="00B97657" w:rsidRPr="00536C0F" w14:paraId="23EC8BBA" w14:textId="77777777" w:rsidTr="00B97657">
        <w:trPr>
          <w:trHeight w:val="1680"/>
        </w:trPr>
        <w:tc>
          <w:tcPr>
            <w:tcW w:w="2127" w:type="dxa"/>
            <w:hideMark/>
          </w:tcPr>
          <w:p w14:paraId="7B320A61"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Channels of Hope Phase 3</w:t>
            </w:r>
          </w:p>
        </w:tc>
        <w:tc>
          <w:tcPr>
            <w:tcW w:w="1721" w:type="dxa"/>
            <w:hideMark/>
          </w:tcPr>
          <w:p w14:paraId="49C51DF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 xml:space="preserve">Number of people who participated in sessions on gender issues and women’s equal rights </w:t>
            </w:r>
          </w:p>
        </w:tc>
        <w:tc>
          <w:tcPr>
            <w:tcW w:w="939" w:type="dxa"/>
            <w:vAlign w:val="center"/>
            <w:hideMark/>
          </w:tcPr>
          <w:p w14:paraId="2A1AF71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1792</w:t>
            </w:r>
          </w:p>
        </w:tc>
        <w:tc>
          <w:tcPr>
            <w:tcW w:w="1250" w:type="dxa"/>
            <w:vAlign w:val="center"/>
            <w:hideMark/>
          </w:tcPr>
          <w:p w14:paraId="67858125"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28</w:t>
            </w:r>
          </w:p>
        </w:tc>
        <w:tc>
          <w:tcPr>
            <w:tcW w:w="561" w:type="dxa"/>
            <w:vAlign w:val="center"/>
            <w:hideMark/>
          </w:tcPr>
          <w:p w14:paraId="07B8623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479C1EBC"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4B53F4D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1868</w:t>
            </w:r>
          </w:p>
        </w:tc>
        <w:tc>
          <w:tcPr>
            <w:tcW w:w="1250" w:type="dxa"/>
            <w:vAlign w:val="center"/>
            <w:hideMark/>
          </w:tcPr>
          <w:p w14:paraId="6EE43D6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29</w:t>
            </w:r>
          </w:p>
        </w:tc>
        <w:tc>
          <w:tcPr>
            <w:tcW w:w="1015" w:type="dxa"/>
            <w:vAlign w:val="center"/>
            <w:hideMark/>
          </w:tcPr>
          <w:p w14:paraId="4513C6AC"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22B987E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429EA2F2"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5ADE007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95</w:t>
            </w:r>
          </w:p>
        </w:tc>
        <w:tc>
          <w:tcPr>
            <w:tcW w:w="992" w:type="dxa"/>
            <w:vAlign w:val="center"/>
            <w:hideMark/>
          </w:tcPr>
          <w:p w14:paraId="11C3E9C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3812</w:t>
            </w:r>
          </w:p>
        </w:tc>
      </w:tr>
      <w:tr w:rsidR="00B97657" w:rsidRPr="00536C0F" w14:paraId="37244063" w14:textId="77777777" w:rsidTr="00B97657">
        <w:trPr>
          <w:trHeight w:val="1200"/>
        </w:trPr>
        <w:tc>
          <w:tcPr>
            <w:tcW w:w="2127" w:type="dxa"/>
            <w:hideMark/>
          </w:tcPr>
          <w:p w14:paraId="44B931E4" w14:textId="77777777" w:rsidR="00536C0F" w:rsidRPr="00011D21" w:rsidRDefault="00536C0F" w:rsidP="006978D8">
            <w:pPr>
              <w:spacing w:after="0"/>
              <w:jc w:val="left"/>
              <w:rPr>
                <w:rFonts w:asciiTheme="majorHAnsi" w:eastAsia="Times New Roman" w:hAnsiTheme="majorHAnsi" w:cstheme="majorHAnsi"/>
                <w:color w:val="000000"/>
                <w:sz w:val="20"/>
                <w:szCs w:val="20"/>
              </w:rPr>
            </w:pPr>
            <w:proofErr w:type="spellStart"/>
            <w:r w:rsidRPr="00011D21">
              <w:rPr>
                <w:rFonts w:asciiTheme="majorHAnsi" w:eastAsia="Times New Roman" w:hAnsiTheme="majorHAnsi" w:cstheme="majorHAnsi"/>
                <w:color w:val="000000"/>
                <w:sz w:val="20"/>
                <w:szCs w:val="20"/>
              </w:rPr>
              <w:t>Lets</w:t>
            </w:r>
            <w:proofErr w:type="spellEnd"/>
            <w:r w:rsidRPr="00011D21">
              <w:rPr>
                <w:rFonts w:asciiTheme="majorHAnsi" w:eastAsia="Times New Roman" w:hAnsiTheme="majorHAnsi" w:cstheme="majorHAnsi"/>
                <w:color w:val="000000"/>
                <w:sz w:val="20"/>
                <w:szCs w:val="20"/>
              </w:rPr>
              <w:t xml:space="preserve"> Make Our Families Safe Project Phase 2</w:t>
            </w:r>
          </w:p>
        </w:tc>
        <w:tc>
          <w:tcPr>
            <w:tcW w:w="1721" w:type="dxa"/>
            <w:hideMark/>
          </w:tcPr>
          <w:p w14:paraId="0FBBD11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Number of men who have undertaken male advocacy training</w:t>
            </w:r>
          </w:p>
        </w:tc>
        <w:tc>
          <w:tcPr>
            <w:tcW w:w="939" w:type="dxa"/>
            <w:vAlign w:val="center"/>
            <w:hideMark/>
          </w:tcPr>
          <w:p w14:paraId="33505FD4"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250" w:type="dxa"/>
            <w:vAlign w:val="center"/>
            <w:hideMark/>
          </w:tcPr>
          <w:p w14:paraId="2D791C03" w14:textId="77777777" w:rsidR="00536C0F" w:rsidRPr="00011D21" w:rsidRDefault="00536C0F" w:rsidP="006978D8">
            <w:pPr>
              <w:spacing w:after="0"/>
              <w:jc w:val="left"/>
              <w:rPr>
                <w:rFonts w:asciiTheme="majorHAnsi" w:eastAsia="Times New Roman" w:hAnsiTheme="majorHAnsi" w:cstheme="majorHAnsi"/>
                <w:sz w:val="20"/>
                <w:szCs w:val="20"/>
              </w:rPr>
            </w:pPr>
          </w:p>
        </w:tc>
        <w:tc>
          <w:tcPr>
            <w:tcW w:w="561" w:type="dxa"/>
            <w:vAlign w:val="center"/>
            <w:hideMark/>
          </w:tcPr>
          <w:p w14:paraId="1A346A5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67DF8D5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063E8D11"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16</w:t>
            </w:r>
          </w:p>
        </w:tc>
        <w:tc>
          <w:tcPr>
            <w:tcW w:w="1250" w:type="dxa"/>
            <w:vAlign w:val="center"/>
            <w:hideMark/>
          </w:tcPr>
          <w:p w14:paraId="28B670B6"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015" w:type="dxa"/>
            <w:vAlign w:val="center"/>
            <w:hideMark/>
          </w:tcPr>
          <w:p w14:paraId="7A0EBE0C"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229DBA96"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180BD972"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19A1B2CC"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992" w:type="dxa"/>
            <w:vAlign w:val="center"/>
            <w:hideMark/>
          </w:tcPr>
          <w:p w14:paraId="6B55016A"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16</w:t>
            </w:r>
          </w:p>
        </w:tc>
      </w:tr>
      <w:tr w:rsidR="00B97657" w:rsidRPr="00536C0F" w14:paraId="49CBF9DD" w14:textId="77777777" w:rsidTr="00B97657">
        <w:trPr>
          <w:trHeight w:val="1680"/>
        </w:trPr>
        <w:tc>
          <w:tcPr>
            <w:tcW w:w="2127" w:type="dxa"/>
            <w:hideMark/>
          </w:tcPr>
          <w:p w14:paraId="04C6D9A1" w14:textId="77777777" w:rsidR="00536C0F" w:rsidRPr="00011D21" w:rsidRDefault="00536C0F" w:rsidP="006978D8">
            <w:pPr>
              <w:spacing w:after="0"/>
              <w:jc w:val="left"/>
              <w:rPr>
                <w:rFonts w:asciiTheme="majorHAnsi" w:eastAsia="Times New Roman" w:hAnsiTheme="majorHAnsi" w:cstheme="majorHAnsi"/>
                <w:color w:val="000000"/>
                <w:sz w:val="20"/>
                <w:szCs w:val="20"/>
              </w:rPr>
            </w:pPr>
            <w:proofErr w:type="spellStart"/>
            <w:r w:rsidRPr="00011D21">
              <w:rPr>
                <w:rFonts w:asciiTheme="majorHAnsi" w:eastAsia="Times New Roman" w:hAnsiTheme="majorHAnsi" w:cstheme="majorHAnsi"/>
                <w:color w:val="000000"/>
                <w:sz w:val="20"/>
                <w:szCs w:val="20"/>
              </w:rPr>
              <w:lastRenderedPageBreak/>
              <w:t>Lets</w:t>
            </w:r>
            <w:proofErr w:type="spellEnd"/>
            <w:r w:rsidRPr="00011D21">
              <w:rPr>
                <w:rFonts w:asciiTheme="majorHAnsi" w:eastAsia="Times New Roman" w:hAnsiTheme="majorHAnsi" w:cstheme="majorHAnsi"/>
                <w:color w:val="000000"/>
                <w:sz w:val="20"/>
                <w:szCs w:val="20"/>
              </w:rPr>
              <w:t xml:space="preserve"> Make Our Families Safe Project Phase 2</w:t>
            </w:r>
          </w:p>
        </w:tc>
        <w:tc>
          <w:tcPr>
            <w:tcW w:w="1721" w:type="dxa"/>
            <w:hideMark/>
          </w:tcPr>
          <w:p w14:paraId="5B97A9C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 xml:space="preserve">Number of people who participated in sessions on gender issues and women’s equal rights </w:t>
            </w:r>
          </w:p>
        </w:tc>
        <w:tc>
          <w:tcPr>
            <w:tcW w:w="939" w:type="dxa"/>
            <w:vAlign w:val="center"/>
            <w:hideMark/>
          </w:tcPr>
          <w:p w14:paraId="64597BFA"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829</w:t>
            </w:r>
          </w:p>
        </w:tc>
        <w:tc>
          <w:tcPr>
            <w:tcW w:w="1250" w:type="dxa"/>
            <w:vAlign w:val="center"/>
            <w:hideMark/>
          </w:tcPr>
          <w:p w14:paraId="57F61E9B"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2</w:t>
            </w:r>
          </w:p>
        </w:tc>
        <w:tc>
          <w:tcPr>
            <w:tcW w:w="561" w:type="dxa"/>
            <w:vAlign w:val="center"/>
            <w:hideMark/>
          </w:tcPr>
          <w:p w14:paraId="1800F2A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28</w:t>
            </w:r>
          </w:p>
        </w:tc>
        <w:tc>
          <w:tcPr>
            <w:tcW w:w="1250" w:type="dxa"/>
            <w:vAlign w:val="center"/>
            <w:hideMark/>
          </w:tcPr>
          <w:p w14:paraId="7769E26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341FA5A5"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757</w:t>
            </w:r>
          </w:p>
        </w:tc>
        <w:tc>
          <w:tcPr>
            <w:tcW w:w="1250" w:type="dxa"/>
            <w:vAlign w:val="center"/>
            <w:hideMark/>
          </w:tcPr>
          <w:p w14:paraId="3D227A2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5</w:t>
            </w:r>
          </w:p>
        </w:tc>
        <w:tc>
          <w:tcPr>
            <w:tcW w:w="1015" w:type="dxa"/>
            <w:vAlign w:val="center"/>
            <w:hideMark/>
          </w:tcPr>
          <w:p w14:paraId="6EB490B1"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201FB96F"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7C1996C9"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7CBA9773"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992" w:type="dxa"/>
            <w:vAlign w:val="center"/>
            <w:hideMark/>
          </w:tcPr>
          <w:p w14:paraId="1D510F7D"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1621</w:t>
            </w:r>
          </w:p>
        </w:tc>
      </w:tr>
      <w:tr w:rsidR="00B97657" w:rsidRPr="00536C0F" w14:paraId="2FAFA7B2" w14:textId="77777777" w:rsidTr="00B97657">
        <w:trPr>
          <w:trHeight w:val="960"/>
        </w:trPr>
        <w:tc>
          <w:tcPr>
            <w:tcW w:w="2127" w:type="dxa"/>
            <w:hideMark/>
          </w:tcPr>
          <w:p w14:paraId="313D69C1" w14:textId="77777777" w:rsidR="00536C0F" w:rsidRPr="00011D21" w:rsidRDefault="00536C0F" w:rsidP="006978D8">
            <w:pPr>
              <w:spacing w:after="0"/>
              <w:jc w:val="left"/>
              <w:rPr>
                <w:rFonts w:asciiTheme="majorHAnsi" w:eastAsia="Times New Roman" w:hAnsiTheme="majorHAnsi" w:cstheme="majorHAnsi"/>
                <w:color w:val="000000"/>
                <w:sz w:val="20"/>
                <w:szCs w:val="20"/>
              </w:rPr>
            </w:pPr>
            <w:proofErr w:type="spellStart"/>
            <w:r w:rsidRPr="00011D21">
              <w:rPr>
                <w:rFonts w:asciiTheme="majorHAnsi" w:eastAsia="Times New Roman" w:hAnsiTheme="majorHAnsi" w:cstheme="majorHAnsi"/>
                <w:color w:val="000000"/>
                <w:sz w:val="20"/>
                <w:szCs w:val="20"/>
              </w:rPr>
              <w:t>Lets</w:t>
            </w:r>
            <w:proofErr w:type="spellEnd"/>
            <w:r w:rsidRPr="00011D21">
              <w:rPr>
                <w:rFonts w:asciiTheme="majorHAnsi" w:eastAsia="Times New Roman" w:hAnsiTheme="majorHAnsi" w:cstheme="majorHAnsi"/>
                <w:color w:val="000000"/>
                <w:sz w:val="20"/>
                <w:szCs w:val="20"/>
              </w:rPr>
              <w:t xml:space="preserve"> Make Our Families Safe Project Phase 2</w:t>
            </w:r>
          </w:p>
        </w:tc>
        <w:tc>
          <w:tcPr>
            <w:tcW w:w="1721" w:type="dxa"/>
            <w:hideMark/>
          </w:tcPr>
          <w:p w14:paraId="1C0EDC1E"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Number of services provided to diverse women and children</w:t>
            </w:r>
          </w:p>
        </w:tc>
        <w:tc>
          <w:tcPr>
            <w:tcW w:w="939" w:type="dxa"/>
            <w:vAlign w:val="center"/>
            <w:hideMark/>
          </w:tcPr>
          <w:p w14:paraId="011F3DEC"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85</w:t>
            </w:r>
          </w:p>
        </w:tc>
        <w:tc>
          <w:tcPr>
            <w:tcW w:w="1250" w:type="dxa"/>
            <w:vAlign w:val="center"/>
            <w:hideMark/>
          </w:tcPr>
          <w:p w14:paraId="2697441A"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561" w:type="dxa"/>
            <w:vAlign w:val="center"/>
            <w:hideMark/>
          </w:tcPr>
          <w:p w14:paraId="141C6A3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2123C45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74302591"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51</w:t>
            </w:r>
          </w:p>
        </w:tc>
        <w:tc>
          <w:tcPr>
            <w:tcW w:w="1250" w:type="dxa"/>
            <w:vAlign w:val="center"/>
            <w:hideMark/>
          </w:tcPr>
          <w:p w14:paraId="761E19B4"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015" w:type="dxa"/>
            <w:vAlign w:val="center"/>
            <w:hideMark/>
          </w:tcPr>
          <w:p w14:paraId="7BCD17E1"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061A1EEF"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3321649B"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231D677A"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992" w:type="dxa"/>
            <w:vAlign w:val="center"/>
            <w:hideMark/>
          </w:tcPr>
          <w:p w14:paraId="3A176CA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136</w:t>
            </w:r>
          </w:p>
        </w:tc>
      </w:tr>
      <w:tr w:rsidR="00B97657" w:rsidRPr="00536C0F" w14:paraId="5933A16E" w14:textId="77777777" w:rsidTr="00B97657">
        <w:trPr>
          <w:trHeight w:val="1200"/>
        </w:trPr>
        <w:tc>
          <w:tcPr>
            <w:tcW w:w="2127" w:type="dxa"/>
            <w:hideMark/>
          </w:tcPr>
          <w:p w14:paraId="00C12286" w14:textId="77777777" w:rsidR="00536C0F" w:rsidRPr="00011D21" w:rsidRDefault="00536C0F" w:rsidP="006978D8">
            <w:pPr>
              <w:spacing w:after="0"/>
              <w:jc w:val="left"/>
              <w:rPr>
                <w:rFonts w:asciiTheme="majorHAnsi" w:eastAsia="Times New Roman" w:hAnsiTheme="majorHAnsi" w:cstheme="majorHAnsi"/>
                <w:color w:val="000000"/>
                <w:sz w:val="20"/>
                <w:szCs w:val="20"/>
              </w:rPr>
            </w:pPr>
            <w:proofErr w:type="spellStart"/>
            <w:r w:rsidRPr="00011D21">
              <w:rPr>
                <w:rFonts w:asciiTheme="majorHAnsi" w:eastAsia="Times New Roman" w:hAnsiTheme="majorHAnsi" w:cstheme="majorHAnsi"/>
                <w:color w:val="000000"/>
                <w:sz w:val="20"/>
                <w:szCs w:val="20"/>
              </w:rPr>
              <w:t>Lets</w:t>
            </w:r>
            <w:proofErr w:type="spellEnd"/>
            <w:r w:rsidRPr="00011D21">
              <w:rPr>
                <w:rFonts w:asciiTheme="majorHAnsi" w:eastAsia="Times New Roman" w:hAnsiTheme="majorHAnsi" w:cstheme="majorHAnsi"/>
                <w:color w:val="000000"/>
                <w:sz w:val="20"/>
                <w:szCs w:val="20"/>
              </w:rPr>
              <w:t xml:space="preserve"> Make Our Families Safe Project Phase 2</w:t>
            </w:r>
          </w:p>
        </w:tc>
        <w:tc>
          <w:tcPr>
            <w:tcW w:w="1721" w:type="dxa"/>
            <w:hideMark/>
          </w:tcPr>
          <w:p w14:paraId="0C560D67"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Policies addressing leadership, safety, economic empowerment</w:t>
            </w:r>
          </w:p>
        </w:tc>
        <w:tc>
          <w:tcPr>
            <w:tcW w:w="939" w:type="dxa"/>
            <w:vAlign w:val="center"/>
            <w:hideMark/>
          </w:tcPr>
          <w:p w14:paraId="5C4CEE07"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250" w:type="dxa"/>
            <w:vAlign w:val="center"/>
            <w:hideMark/>
          </w:tcPr>
          <w:p w14:paraId="0E545E12" w14:textId="77777777" w:rsidR="00536C0F" w:rsidRPr="00011D21" w:rsidRDefault="00536C0F" w:rsidP="006978D8">
            <w:pPr>
              <w:spacing w:after="0"/>
              <w:jc w:val="left"/>
              <w:rPr>
                <w:rFonts w:asciiTheme="majorHAnsi" w:eastAsia="Times New Roman" w:hAnsiTheme="majorHAnsi" w:cstheme="majorHAnsi"/>
                <w:sz w:val="20"/>
                <w:szCs w:val="20"/>
              </w:rPr>
            </w:pPr>
          </w:p>
        </w:tc>
        <w:tc>
          <w:tcPr>
            <w:tcW w:w="561" w:type="dxa"/>
            <w:vAlign w:val="center"/>
            <w:hideMark/>
          </w:tcPr>
          <w:p w14:paraId="55A99A53"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66924E6C"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15D77122"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250" w:type="dxa"/>
            <w:vAlign w:val="center"/>
            <w:hideMark/>
          </w:tcPr>
          <w:p w14:paraId="051BEE69" w14:textId="77777777" w:rsidR="00536C0F" w:rsidRPr="00011D21" w:rsidRDefault="00536C0F" w:rsidP="006978D8">
            <w:pPr>
              <w:spacing w:after="0"/>
              <w:jc w:val="left"/>
              <w:rPr>
                <w:rFonts w:asciiTheme="majorHAnsi" w:eastAsia="Times New Roman" w:hAnsiTheme="majorHAnsi" w:cstheme="majorHAnsi"/>
                <w:sz w:val="20"/>
                <w:szCs w:val="20"/>
              </w:rPr>
            </w:pPr>
          </w:p>
        </w:tc>
        <w:tc>
          <w:tcPr>
            <w:tcW w:w="1015" w:type="dxa"/>
            <w:vAlign w:val="center"/>
            <w:hideMark/>
          </w:tcPr>
          <w:p w14:paraId="1B95E97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61296FD6"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0DB45224"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59BFEA0C"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7</w:t>
            </w:r>
          </w:p>
        </w:tc>
        <w:tc>
          <w:tcPr>
            <w:tcW w:w="992" w:type="dxa"/>
            <w:vAlign w:val="center"/>
            <w:hideMark/>
          </w:tcPr>
          <w:p w14:paraId="3282A65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7</w:t>
            </w:r>
          </w:p>
        </w:tc>
      </w:tr>
      <w:tr w:rsidR="00B97657" w:rsidRPr="00536C0F" w14:paraId="5F101446" w14:textId="77777777" w:rsidTr="00B97657">
        <w:trPr>
          <w:trHeight w:val="1200"/>
        </w:trPr>
        <w:tc>
          <w:tcPr>
            <w:tcW w:w="2127" w:type="dxa"/>
            <w:hideMark/>
          </w:tcPr>
          <w:p w14:paraId="2CC4ECA7"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People with Disability Solomon Islands</w:t>
            </w:r>
          </w:p>
        </w:tc>
        <w:tc>
          <w:tcPr>
            <w:tcW w:w="1721" w:type="dxa"/>
            <w:hideMark/>
          </w:tcPr>
          <w:p w14:paraId="19B7878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Diverse women and girls supported to assume a leadership role</w:t>
            </w:r>
          </w:p>
        </w:tc>
        <w:tc>
          <w:tcPr>
            <w:tcW w:w="939" w:type="dxa"/>
            <w:vAlign w:val="center"/>
            <w:hideMark/>
          </w:tcPr>
          <w:p w14:paraId="30D71D1C"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250" w:type="dxa"/>
            <w:vAlign w:val="center"/>
            <w:hideMark/>
          </w:tcPr>
          <w:p w14:paraId="4784978F"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9</w:t>
            </w:r>
          </w:p>
        </w:tc>
        <w:tc>
          <w:tcPr>
            <w:tcW w:w="561" w:type="dxa"/>
            <w:vAlign w:val="center"/>
            <w:hideMark/>
          </w:tcPr>
          <w:p w14:paraId="44B7215D"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4087D383"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35CA238E"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250" w:type="dxa"/>
            <w:vAlign w:val="center"/>
            <w:hideMark/>
          </w:tcPr>
          <w:p w14:paraId="26C2C5B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7</w:t>
            </w:r>
          </w:p>
        </w:tc>
        <w:tc>
          <w:tcPr>
            <w:tcW w:w="1015" w:type="dxa"/>
            <w:vAlign w:val="center"/>
            <w:hideMark/>
          </w:tcPr>
          <w:p w14:paraId="1926FF9B"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08288ACB"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16614B0A"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2D888870"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992" w:type="dxa"/>
            <w:vAlign w:val="center"/>
            <w:hideMark/>
          </w:tcPr>
          <w:p w14:paraId="69E7074D"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16</w:t>
            </w:r>
          </w:p>
        </w:tc>
      </w:tr>
      <w:tr w:rsidR="00B97657" w:rsidRPr="00536C0F" w14:paraId="2B08DBA9" w14:textId="77777777" w:rsidTr="00B97657">
        <w:trPr>
          <w:trHeight w:val="1680"/>
        </w:trPr>
        <w:tc>
          <w:tcPr>
            <w:tcW w:w="2127" w:type="dxa"/>
            <w:hideMark/>
          </w:tcPr>
          <w:p w14:paraId="06E6B293"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People with Disability Solomon Islands</w:t>
            </w:r>
          </w:p>
        </w:tc>
        <w:tc>
          <w:tcPr>
            <w:tcW w:w="1721" w:type="dxa"/>
            <w:hideMark/>
          </w:tcPr>
          <w:p w14:paraId="5B5D6F8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Diverse women entrepreneurs provided with financial and/or business development services</w:t>
            </w:r>
          </w:p>
        </w:tc>
        <w:tc>
          <w:tcPr>
            <w:tcW w:w="939" w:type="dxa"/>
            <w:vAlign w:val="center"/>
            <w:hideMark/>
          </w:tcPr>
          <w:p w14:paraId="2A8C0B0C"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30</w:t>
            </w:r>
          </w:p>
        </w:tc>
        <w:tc>
          <w:tcPr>
            <w:tcW w:w="1250" w:type="dxa"/>
            <w:vAlign w:val="center"/>
            <w:hideMark/>
          </w:tcPr>
          <w:p w14:paraId="59909B02"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561" w:type="dxa"/>
            <w:vAlign w:val="center"/>
            <w:hideMark/>
          </w:tcPr>
          <w:p w14:paraId="1B9778CA"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1D01A7CA"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638EB205"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250" w:type="dxa"/>
            <w:vAlign w:val="center"/>
            <w:hideMark/>
          </w:tcPr>
          <w:p w14:paraId="74504826" w14:textId="77777777" w:rsidR="00536C0F" w:rsidRPr="00011D21" w:rsidRDefault="00536C0F" w:rsidP="006978D8">
            <w:pPr>
              <w:spacing w:after="0"/>
              <w:jc w:val="left"/>
              <w:rPr>
                <w:rFonts w:asciiTheme="majorHAnsi" w:eastAsia="Times New Roman" w:hAnsiTheme="majorHAnsi" w:cstheme="majorHAnsi"/>
                <w:sz w:val="20"/>
                <w:szCs w:val="20"/>
              </w:rPr>
            </w:pPr>
          </w:p>
        </w:tc>
        <w:tc>
          <w:tcPr>
            <w:tcW w:w="1015" w:type="dxa"/>
            <w:vAlign w:val="center"/>
            <w:hideMark/>
          </w:tcPr>
          <w:p w14:paraId="46ECCDF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05A58560"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39FA59CA"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545370C6"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992" w:type="dxa"/>
            <w:vAlign w:val="center"/>
            <w:hideMark/>
          </w:tcPr>
          <w:p w14:paraId="201A4655"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30</w:t>
            </w:r>
          </w:p>
        </w:tc>
      </w:tr>
      <w:tr w:rsidR="00B97657" w:rsidRPr="00536C0F" w14:paraId="5A1005CE" w14:textId="77777777" w:rsidTr="00B97657">
        <w:trPr>
          <w:trHeight w:val="1680"/>
        </w:trPr>
        <w:tc>
          <w:tcPr>
            <w:tcW w:w="2127" w:type="dxa"/>
            <w:hideMark/>
          </w:tcPr>
          <w:p w14:paraId="0DDF9F6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People with Disability Solomon Islands</w:t>
            </w:r>
          </w:p>
        </w:tc>
        <w:tc>
          <w:tcPr>
            <w:tcW w:w="1721" w:type="dxa"/>
            <w:hideMark/>
          </w:tcPr>
          <w:p w14:paraId="56F26D4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 xml:space="preserve">Number of people who participated in sessions on gender issues and women’s equal rights </w:t>
            </w:r>
          </w:p>
        </w:tc>
        <w:tc>
          <w:tcPr>
            <w:tcW w:w="939" w:type="dxa"/>
            <w:vAlign w:val="center"/>
            <w:hideMark/>
          </w:tcPr>
          <w:p w14:paraId="2D566414"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250" w:type="dxa"/>
            <w:vAlign w:val="center"/>
            <w:hideMark/>
          </w:tcPr>
          <w:p w14:paraId="664A2AB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40</w:t>
            </w:r>
          </w:p>
        </w:tc>
        <w:tc>
          <w:tcPr>
            <w:tcW w:w="561" w:type="dxa"/>
            <w:vAlign w:val="center"/>
            <w:hideMark/>
          </w:tcPr>
          <w:p w14:paraId="46553A9E"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4EB6A99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50942EA3"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250" w:type="dxa"/>
            <w:vAlign w:val="center"/>
            <w:hideMark/>
          </w:tcPr>
          <w:p w14:paraId="5FCE12EE"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30</w:t>
            </w:r>
          </w:p>
        </w:tc>
        <w:tc>
          <w:tcPr>
            <w:tcW w:w="1015" w:type="dxa"/>
            <w:vAlign w:val="center"/>
            <w:hideMark/>
          </w:tcPr>
          <w:p w14:paraId="7FB92DFE"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7E265AF0"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207B9829"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408910D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16</w:t>
            </w:r>
          </w:p>
        </w:tc>
        <w:tc>
          <w:tcPr>
            <w:tcW w:w="992" w:type="dxa"/>
            <w:vAlign w:val="center"/>
            <w:hideMark/>
          </w:tcPr>
          <w:p w14:paraId="65571D6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86</w:t>
            </w:r>
          </w:p>
        </w:tc>
      </w:tr>
      <w:tr w:rsidR="00B97657" w:rsidRPr="00536C0F" w14:paraId="24EC8EE1" w14:textId="77777777" w:rsidTr="00B97657">
        <w:trPr>
          <w:trHeight w:val="1680"/>
        </w:trPr>
        <w:tc>
          <w:tcPr>
            <w:tcW w:w="2127" w:type="dxa"/>
            <w:hideMark/>
          </w:tcPr>
          <w:p w14:paraId="33BBA6AC"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lastRenderedPageBreak/>
              <w:t>Professional Driving School for Women</w:t>
            </w:r>
          </w:p>
        </w:tc>
        <w:tc>
          <w:tcPr>
            <w:tcW w:w="1721" w:type="dxa"/>
            <w:hideMark/>
          </w:tcPr>
          <w:p w14:paraId="40F5F17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Diverse women entrepreneurs provided with financial and/or business development services</w:t>
            </w:r>
          </w:p>
        </w:tc>
        <w:tc>
          <w:tcPr>
            <w:tcW w:w="939" w:type="dxa"/>
            <w:vAlign w:val="center"/>
            <w:hideMark/>
          </w:tcPr>
          <w:p w14:paraId="363D7265"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101</w:t>
            </w:r>
          </w:p>
        </w:tc>
        <w:tc>
          <w:tcPr>
            <w:tcW w:w="1250" w:type="dxa"/>
            <w:vAlign w:val="center"/>
            <w:hideMark/>
          </w:tcPr>
          <w:p w14:paraId="6E5A5272"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561" w:type="dxa"/>
            <w:vAlign w:val="center"/>
            <w:hideMark/>
          </w:tcPr>
          <w:p w14:paraId="1A19E3BD"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6E429B1B"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0C4545A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59</w:t>
            </w:r>
          </w:p>
        </w:tc>
        <w:tc>
          <w:tcPr>
            <w:tcW w:w="1250" w:type="dxa"/>
            <w:vAlign w:val="center"/>
            <w:hideMark/>
          </w:tcPr>
          <w:p w14:paraId="588E18C5"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015" w:type="dxa"/>
            <w:vAlign w:val="center"/>
            <w:hideMark/>
          </w:tcPr>
          <w:p w14:paraId="5E591621"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1AB2E4A7"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5BFAAD63"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3ADA9D2F"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992" w:type="dxa"/>
            <w:vAlign w:val="center"/>
            <w:hideMark/>
          </w:tcPr>
          <w:p w14:paraId="6FCCF55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160</w:t>
            </w:r>
          </w:p>
        </w:tc>
      </w:tr>
      <w:tr w:rsidR="00B97657" w:rsidRPr="00536C0F" w14:paraId="5DBEB2E1" w14:textId="77777777" w:rsidTr="00B97657">
        <w:trPr>
          <w:trHeight w:val="1680"/>
        </w:trPr>
        <w:tc>
          <w:tcPr>
            <w:tcW w:w="2127" w:type="dxa"/>
            <w:hideMark/>
          </w:tcPr>
          <w:p w14:paraId="22320EDA"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Responding to Violence against Women Phase 2</w:t>
            </w:r>
          </w:p>
        </w:tc>
        <w:tc>
          <w:tcPr>
            <w:tcW w:w="1721" w:type="dxa"/>
            <w:hideMark/>
          </w:tcPr>
          <w:p w14:paraId="7570951D"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Diverse women entrepreneurs provided with financial and/or business development services</w:t>
            </w:r>
          </w:p>
        </w:tc>
        <w:tc>
          <w:tcPr>
            <w:tcW w:w="939" w:type="dxa"/>
            <w:vAlign w:val="center"/>
            <w:hideMark/>
          </w:tcPr>
          <w:p w14:paraId="7B15642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69</w:t>
            </w:r>
          </w:p>
        </w:tc>
        <w:tc>
          <w:tcPr>
            <w:tcW w:w="1250" w:type="dxa"/>
            <w:vAlign w:val="center"/>
            <w:hideMark/>
          </w:tcPr>
          <w:p w14:paraId="7EB03EA6"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561" w:type="dxa"/>
            <w:vAlign w:val="center"/>
            <w:hideMark/>
          </w:tcPr>
          <w:p w14:paraId="4A606AB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6FEA53BA"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0B9B0CB2"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250" w:type="dxa"/>
            <w:vAlign w:val="center"/>
            <w:hideMark/>
          </w:tcPr>
          <w:p w14:paraId="5642C189" w14:textId="77777777" w:rsidR="00536C0F" w:rsidRPr="00011D21" w:rsidRDefault="00536C0F" w:rsidP="006978D8">
            <w:pPr>
              <w:spacing w:after="0"/>
              <w:jc w:val="left"/>
              <w:rPr>
                <w:rFonts w:asciiTheme="majorHAnsi" w:eastAsia="Times New Roman" w:hAnsiTheme="majorHAnsi" w:cstheme="majorHAnsi"/>
                <w:sz w:val="20"/>
                <w:szCs w:val="20"/>
              </w:rPr>
            </w:pPr>
          </w:p>
        </w:tc>
        <w:tc>
          <w:tcPr>
            <w:tcW w:w="1015" w:type="dxa"/>
            <w:vAlign w:val="center"/>
            <w:hideMark/>
          </w:tcPr>
          <w:p w14:paraId="5A077970"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6BCAA14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579996E7"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3A3EF6A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992" w:type="dxa"/>
            <w:vAlign w:val="center"/>
            <w:hideMark/>
          </w:tcPr>
          <w:p w14:paraId="1C89639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69</w:t>
            </w:r>
          </w:p>
        </w:tc>
      </w:tr>
      <w:tr w:rsidR="00B97657" w:rsidRPr="00536C0F" w14:paraId="61CB6D46" w14:textId="77777777" w:rsidTr="00B97657">
        <w:trPr>
          <w:trHeight w:val="1440"/>
        </w:trPr>
        <w:tc>
          <w:tcPr>
            <w:tcW w:w="2127" w:type="dxa"/>
            <w:hideMark/>
          </w:tcPr>
          <w:p w14:paraId="77E15AD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Responding to Violence against Women Phase 2</w:t>
            </w:r>
          </w:p>
        </w:tc>
        <w:tc>
          <w:tcPr>
            <w:tcW w:w="1721" w:type="dxa"/>
            <w:hideMark/>
          </w:tcPr>
          <w:p w14:paraId="1B661883" w14:textId="161ED78D"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Number of counsellors graduating from recogni</w:t>
            </w:r>
            <w:r w:rsidR="00C34CAD">
              <w:rPr>
                <w:rFonts w:asciiTheme="majorHAnsi" w:eastAsia="Times New Roman" w:hAnsiTheme="majorHAnsi" w:cstheme="majorHAnsi"/>
                <w:color w:val="000000"/>
                <w:sz w:val="20"/>
                <w:szCs w:val="20"/>
              </w:rPr>
              <w:t>s</w:t>
            </w:r>
            <w:r w:rsidRPr="00011D21">
              <w:rPr>
                <w:rFonts w:asciiTheme="majorHAnsi" w:eastAsia="Times New Roman" w:hAnsiTheme="majorHAnsi" w:cstheme="majorHAnsi"/>
                <w:color w:val="000000"/>
                <w:sz w:val="20"/>
                <w:szCs w:val="20"/>
              </w:rPr>
              <w:t>ed counselling institutions</w:t>
            </w:r>
          </w:p>
        </w:tc>
        <w:tc>
          <w:tcPr>
            <w:tcW w:w="939" w:type="dxa"/>
            <w:vAlign w:val="center"/>
            <w:hideMark/>
          </w:tcPr>
          <w:p w14:paraId="36C7148F"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8</w:t>
            </w:r>
          </w:p>
        </w:tc>
        <w:tc>
          <w:tcPr>
            <w:tcW w:w="1250" w:type="dxa"/>
            <w:vAlign w:val="center"/>
            <w:hideMark/>
          </w:tcPr>
          <w:p w14:paraId="0E6C89EB"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561" w:type="dxa"/>
            <w:vAlign w:val="center"/>
            <w:hideMark/>
          </w:tcPr>
          <w:p w14:paraId="74F3B94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45181935"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488BF17A"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250" w:type="dxa"/>
            <w:vAlign w:val="center"/>
            <w:hideMark/>
          </w:tcPr>
          <w:p w14:paraId="3BBBAC63" w14:textId="77777777" w:rsidR="00536C0F" w:rsidRPr="00011D21" w:rsidRDefault="00536C0F" w:rsidP="006978D8">
            <w:pPr>
              <w:spacing w:after="0"/>
              <w:jc w:val="left"/>
              <w:rPr>
                <w:rFonts w:asciiTheme="majorHAnsi" w:eastAsia="Times New Roman" w:hAnsiTheme="majorHAnsi" w:cstheme="majorHAnsi"/>
                <w:sz w:val="20"/>
                <w:szCs w:val="20"/>
              </w:rPr>
            </w:pPr>
          </w:p>
        </w:tc>
        <w:tc>
          <w:tcPr>
            <w:tcW w:w="1015" w:type="dxa"/>
            <w:vAlign w:val="center"/>
            <w:hideMark/>
          </w:tcPr>
          <w:p w14:paraId="29D12E5A"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58EC0B1C"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727317E5"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4468AD85"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992" w:type="dxa"/>
            <w:vAlign w:val="center"/>
            <w:hideMark/>
          </w:tcPr>
          <w:p w14:paraId="7ED58E9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8</w:t>
            </w:r>
          </w:p>
        </w:tc>
      </w:tr>
      <w:tr w:rsidR="00B97657" w:rsidRPr="00536C0F" w14:paraId="16AACD9E" w14:textId="77777777" w:rsidTr="00B97657">
        <w:trPr>
          <w:trHeight w:val="1200"/>
        </w:trPr>
        <w:tc>
          <w:tcPr>
            <w:tcW w:w="2127" w:type="dxa"/>
            <w:hideMark/>
          </w:tcPr>
          <w:p w14:paraId="542C088B"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Responding to Violence against Women Phase 2</w:t>
            </w:r>
          </w:p>
        </w:tc>
        <w:tc>
          <w:tcPr>
            <w:tcW w:w="1721" w:type="dxa"/>
            <w:hideMark/>
          </w:tcPr>
          <w:p w14:paraId="3850AED6"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Number of men who have undertaken male advocacy training</w:t>
            </w:r>
          </w:p>
        </w:tc>
        <w:tc>
          <w:tcPr>
            <w:tcW w:w="939" w:type="dxa"/>
            <w:vAlign w:val="center"/>
            <w:hideMark/>
          </w:tcPr>
          <w:p w14:paraId="0A5028A1"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250" w:type="dxa"/>
            <w:vAlign w:val="center"/>
            <w:hideMark/>
          </w:tcPr>
          <w:p w14:paraId="403356A5" w14:textId="77777777" w:rsidR="00536C0F" w:rsidRPr="00011D21" w:rsidRDefault="00536C0F" w:rsidP="006978D8">
            <w:pPr>
              <w:spacing w:after="0"/>
              <w:jc w:val="left"/>
              <w:rPr>
                <w:rFonts w:asciiTheme="majorHAnsi" w:eastAsia="Times New Roman" w:hAnsiTheme="majorHAnsi" w:cstheme="majorHAnsi"/>
                <w:sz w:val="20"/>
                <w:szCs w:val="20"/>
              </w:rPr>
            </w:pPr>
          </w:p>
        </w:tc>
        <w:tc>
          <w:tcPr>
            <w:tcW w:w="561" w:type="dxa"/>
            <w:vAlign w:val="center"/>
            <w:hideMark/>
          </w:tcPr>
          <w:p w14:paraId="0C8FCD97"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03CEBE93"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2D71C10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105</w:t>
            </w:r>
          </w:p>
        </w:tc>
        <w:tc>
          <w:tcPr>
            <w:tcW w:w="1250" w:type="dxa"/>
            <w:vAlign w:val="center"/>
            <w:hideMark/>
          </w:tcPr>
          <w:p w14:paraId="00070928"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015" w:type="dxa"/>
            <w:vAlign w:val="center"/>
            <w:hideMark/>
          </w:tcPr>
          <w:p w14:paraId="28F6EE51"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24216867"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30AF09C4"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46166F95"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15</w:t>
            </w:r>
          </w:p>
        </w:tc>
        <w:tc>
          <w:tcPr>
            <w:tcW w:w="992" w:type="dxa"/>
            <w:vAlign w:val="center"/>
            <w:hideMark/>
          </w:tcPr>
          <w:p w14:paraId="65C376A0"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120</w:t>
            </w:r>
          </w:p>
        </w:tc>
      </w:tr>
      <w:tr w:rsidR="00B97657" w:rsidRPr="00536C0F" w14:paraId="02438D44" w14:textId="77777777" w:rsidTr="00B97657">
        <w:trPr>
          <w:trHeight w:val="1680"/>
        </w:trPr>
        <w:tc>
          <w:tcPr>
            <w:tcW w:w="2127" w:type="dxa"/>
            <w:hideMark/>
          </w:tcPr>
          <w:p w14:paraId="319ED2AF"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Responding to Violence against Women Phase 2</w:t>
            </w:r>
          </w:p>
        </w:tc>
        <w:tc>
          <w:tcPr>
            <w:tcW w:w="1721" w:type="dxa"/>
            <w:hideMark/>
          </w:tcPr>
          <w:p w14:paraId="35054477"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 xml:space="preserve">Number of people who participated in sessions on gender issues and women’s equal rights </w:t>
            </w:r>
          </w:p>
        </w:tc>
        <w:tc>
          <w:tcPr>
            <w:tcW w:w="939" w:type="dxa"/>
            <w:vAlign w:val="center"/>
            <w:hideMark/>
          </w:tcPr>
          <w:p w14:paraId="2620483F"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677</w:t>
            </w:r>
          </w:p>
        </w:tc>
        <w:tc>
          <w:tcPr>
            <w:tcW w:w="1250" w:type="dxa"/>
            <w:vAlign w:val="center"/>
            <w:hideMark/>
          </w:tcPr>
          <w:p w14:paraId="3F806983"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14</w:t>
            </w:r>
          </w:p>
        </w:tc>
        <w:tc>
          <w:tcPr>
            <w:tcW w:w="561" w:type="dxa"/>
            <w:vAlign w:val="center"/>
            <w:hideMark/>
          </w:tcPr>
          <w:p w14:paraId="3C5C8B26"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4553125C"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1EF4404C"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729</w:t>
            </w:r>
          </w:p>
        </w:tc>
        <w:tc>
          <w:tcPr>
            <w:tcW w:w="1250" w:type="dxa"/>
            <w:vAlign w:val="center"/>
            <w:hideMark/>
          </w:tcPr>
          <w:p w14:paraId="1B53542A"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2</w:t>
            </w:r>
          </w:p>
        </w:tc>
        <w:tc>
          <w:tcPr>
            <w:tcW w:w="1015" w:type="dxa"/>
            <w:vAlign w:val="center"/>
            <w:hideMark/>
          </w:tcPr>
          <w:p w14:paraId="66D09DB5"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6C3F096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4958E71F"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72A77257"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49</w:t>
            </w:r>
          </w:p>
        </w:tc>
        <w:tc>
          <w:tcPr>
            <w:tcW w:w="992" w:type="dxa"/>
            <w:vAlign w:val="center"/>
            <w:hideMark/>
          </w:tcPr>
          <w:p w14:paraId="1CDA6AE5"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1471</w:t>
            </w:r>
          </w:p>
        </w:tc>
      </w:tr>
      <w:tr w:rsidR="00B97657" w:rsidRPr="00536C0F" w14:paraId="78AE0E12" w14:textId="77777777" w:rsidTr="00B97657">
        <w:trPr>
          <w:trHeight w:val="960"/>
        </w:trPr>
        <w:tc>
          <w:tcPr>
            <w:tcW w:w="2127" w:type="dxa"/>
            <w:hideMark/>
          </w:tcPr>
          <w:p w14:paraId="748F146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Responding to Violence against Women Phase 2</w:t>
            </w:r>
          </w:p>
        </w:tc>
        <w:tc>
          <w:tcPr>
            <w:tcW w:w="1721" w:type="dxa"/>
            <w:hideMark/>
          </w:tcPr>
          <w:p w14:paraId="300EEE8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Number of services provided to diverse women and children</w:t>
            </w:r>
          </w:p>
        </w:tc>
        <w:tc>
          <w:tcPr>
            <w:tcW w:w="939" w:type="dxa"/>
            <w:vAlign w:val="center"/>
            <w:hideMark/>
          </w:tcPr>
          <w:p w14:paraId="47E11DC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2021</w:t>
            </w:r>
          </w:p>
        </w:tc>
        <w:tc>
          <w:tcPr>
            <w:tcW w:w="1250" w:type="dxa"/>
            <w:vAlign w:val="center"/>
            <w:hideMark/>
          </w:tcPr>
          <w:p w14:paraId="22408E13"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28</w:t>
            </w:r>
          </w:p>
        </w:tc>
        <w:tc>
          <w:tcPr>
            <w:tcW w:w="561" w:type="dxa"/>
            <w:vAlign w:val="center"/>
            <w:hideMark/>
          </w:tcPr>
          <w:p w14:paraId="2197318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109</w:t>
            </w:r>
          </w:p>
        </w:tc>
        <w:tc>
          <w:tcPr>
            <w:tcW w:w="1250" w:type="dxa"/>
            <w:vAlign w:val="center"/>
            <w:hideMark/>
          </w:tcPr>
          <w:p w14:paraId="40535AC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w:t>
            </w:r>
          </w:p>
        </w:tc>
        <w:tc>
          <w:tcPr>
            <w:tcW w:w="661" w:type="dxa"/>
            <w:vAlign w:val="center"/>
            <w:hideMark/>
          </w:tcPr>
          <w:p w14:paraId="58CEB5F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135</w:t>
            </w:r>
          </w:p>
        </w:tc>
        <w:tc>
          <w:tcPr>
            <w:tcW w:w="1250" w:type="dxa"/>
            <w:vAlign w:val="center"/>
            <w:hideMark/>
          </w:tcPr>
          <w:p w14:paraId="0D26F875"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3</w:t>
            </w:r>
          </w:p>
        </w:tc>
        <w:tc>
          <w:tcPr>
            <w:tcW w:w="1015" w:type="dxa"/>
            <w:vAlign w:val="center"/>
            <w:hideMark/>
          </w:tcPr>
          <w:p w14:paraId="2B16576E"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23</w:t>
            </w:r>
          </w:p>
        </w:tc>
        <w:tc>
          <w:tcPr>
            <w:tcW w:w="1275" w:type="dxa"/>
            <w:vAlign w:val="center"/>
            <w:hideMark/>
          </w:tcPr>
          <w:p w14:paraId="1324CFE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0648D2EC"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32D060D5"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1097</w:t>
            </w:r>
          </w:p>
        </w:tc>
        <w:tc>
          <w:tcPr>
            <w:tcW w:w="992" w:type="dxa"/>
            <w:vAlign w:val="center"/>
            <w:hideMark/>
          </w:tcPr>
          <w:p w14:paraId="7F1F8E96"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3417</w:t>
            </w:r>
          </w:p>
        </w:tc>
      </w:tr>
      <w:tr w:rsidR="00B97657" w:rsidRPr="00536C0F" w14:paraId="6FA504B7" w14:textId="77777777" w:rsidTr="00B97657">
        <w:trPr>
          <w:trHeight w:val="1680"/>
        </w:trPr>
        <w:tc>
          <w:tcPr>
            <w:tcW w:w="2127" w:type="dxa"/>
            <w:hideMark/>
          </w:tcPr>
          <w:p w14:paraId="485EB2DD"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lastRenderedPageBreak/>
              <w:t>Solomon Islands Women in Business</w:t>
            </w:r>
          </w:p>
        </w:tc>
        <w:tc>
          <w:tcPr>
            <w:tcW w:w="1721" w:type="dxa"/>
            <w:hideMark/>
          </w:tcPr>
          <w:p w14:paraId="7400988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Diverse women entrepreneurs provided with financial and/or business development services</w:t>
            </w:r>
          </w:p>
        </w:tc>
        <w:tc>
          <w:tcPr>
            <w:tcW w:w="939" w:type="dxa"/>
            <w:vAlign w:val="center"/>
            <w:hideMark/>
          </w:tcPr>
          <w:p w14:paraId="55E887D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134</w:t>
            </w:r>
          </w:p>
        </w:tc>
        <w:tc>
          <w:tcPr>
            <w:tcW w:w="1250" w:type="dxa"/>
            <w:vAlign w:val="center"/>
            <w:hideMark/>
          </w:tcPr>
          <w:p w14:paraId="54B08625"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561" w:type="dxa"/>
            <w:vAlign w:val="center"/>
            <w:hideMark/>
          </w:tcPr>
          <w:p w14:paraId="13170C0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7634AF5F"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5E38B902"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250" w:type="dxa"/>
            <w:vAlign w:val="center"/>
            <w:hideMark/>
          </w:tcPr>
          <w:p w14:paraId="411E7857" w14:textId="77777777" w:rsidR="00536C0F" w:rsidRPr="00011D21" w:rsidRDefault="00536C0F" w:rsidP="006978D8">
            <w:pPr>
              <w:spacing w:after="0"/>
              <w:jc w:val="left"/>
              <w:rPr>
                <w:rFonts w:asciiTheme="majorHAnsi" w:eastAsia="Times New Roman" w:hAnsiTheme="majorHAnsi" w:cstheme="majorHAnsi"/>
                <w:sz w:val="20"/>
                <w:szCs w:val="20"/>
              </w:rPr>
            </w:pPr>
          </w:p>
        </w:tc>
        <w:tc>
          <w:tcPr>
            <w:tcW w:w="1015" w:type="dxa"/>
            <w:vAlign w:val="center"/>
            <w:hideMark/>
          </w:tcPr>
          <w:p w14:paraId="48FB69B0"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701254BC"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0A499B4C"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44D774C5"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500</w:t>
            </w:r>
          </w:p>
        </w:tc>
        <w:tc>
          <w:tcPr>
            <w:tcW w:w="992" w:type="dxa"/>
            <w:vAlign w:val="center"/>
            <w:hideMark/>
          </w:tcPr>
          <w:p w14:paraId="18A7925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634</w:t>
            </w:r>
          </w:p>
        </w:tc>
      </w:tr>
      <w:tr w:rsidR="00B97657" w:rsidRPr="00536C0F" w14:paraId="4312B8F4" w14:textId="77777777" w:rsidTr="00B97657">
        <w:trPr>
          <w:trHeight w:val="1680"/>
        </w:trPr>
        <w:tc>
          <w:tcPr>
            <w:tcW w:w="2127" w:type="dxa"/>
            <w:hideMark/>
          </w:tcPr>
          <w:p w14:paraId="28B2D1C6"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Solomon Islands Women in Business</w:t>
            </w:r>
          </w:p>
        </w:tc>
        <w:tc>
          <w:tcPr>
            <w:tcW w:w="1721" w:type="dxa"/>
            <w:hideMark/>
          </w:tcPr>
          <w:p w14:paraId="6F2664FB"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 xml:space="preserve">Number of people who participated in sessions on gender issues and women’s equal rights </w:t>
            </w:r>
          </w:p>
        </w:tc>
        <w:tc>
          <w:tcPr>
            <w:tcW w:w="939" w:type="dxa"/>
            <w:vAlign w:val="center"/>
            <w:hideMark/>
          </w:tcPr>
          <w:p w14:paraId="2EFCD90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25</w:t>
            </w:r>
          </w:p>
        </w:tc>
        <w:tc>
          <w:tcPr>
            <w:tcW w:w="1250" w:type="dxa"/>
            <w:vAlign w:val="center"/>
            <w:hideMark/>
          </w:tcPr>
          <w:p w14:paraId="351EFED2"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561" w:type="dxa"/>
            <w:vAlign w:val="center"/>
            <w:hideMark/>
          </w:tcPr>
          <w:p w14:paraId="01227BE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22F74C6B"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043B6B0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17</w:t>
            </w:r>
          </w:p>
        </w:tc>
        <w:tc>
          <w:tcPr>
            <w:tcW w:w="1250" w:type="dxa"/>
            <w:vAlign w:val="center"/>
            <w:hideMark/>
          </w:tcPr>
          <w:p w14:paraId="7684EB4D"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015" w:type="dxa"/>
            <w:vAlign w:val="center"/>
            <w:hideMark/>
          </w:tcPr>
          <w:p w14:paraId="6443DAAD"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1A28FE16"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31A8404D"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1EB78731"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992" w:type="dxa"/>
            <w:vAlign w:val="center"/>
            <w:hideMark/>
          </w:tcPr>
          <w:p w14:paraId="01CA25A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42</w:t>
            </w:r>
          </w:p>
        </w:tc>
      </w:tr>
      <w:tr w:rsidR="00B97657" w:rsidRPr="00536C0F" w14:paraId="0E7D782D" w14:textId="77777777" w:rsidTr="00B97657">
        <w:trPr>
          <w:trHeight w:val="1200"/>
        </w:trPr>
        <w:tc>
          <w:tcPr>
            <w:tcW w:w="2127" w:type="dxa"/>
            <w:hideMark/>
          </w:tcPr>
          <w:p w14:paraId="404E4135" w14:textId="2B6DA8FB"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 xml:space="preserve">Supporting the </w:t>
            </w:r>
            <w:r w:rsidR="00B97657" w:rsidRPr="00011D21">
              <w:rPr>
                <w:rFonts w:asciiTheme="majorHAnsi" w:eastAsia="Times New Roman" w:hAnsiTheme="majorHAnsi" w:cstheme="majorHAnsi"/>
                <w:color w:val="000000"/>
                <w:sz w:val="20"/>
                <w:szCs w:val="20"/>
              </w:rPr>
              <w:t>Ministry</w:t>
            </w:r>
            <w:r w:rsidRPr="00011D21">
              <w:rPr>
                <w:rFonts w:asciiTheme="majorHAnsi" w:eastAsia="Times New Roman" w:hAnsiTheme="majorHAnsi" w:cstheme="majorHAnsi"/>
                <w:color w:val="000000"/>
                <w:sz w:val="20"/>
                <w:szCs w:val="20"/>
              </w:rPr>
              <w:t xml:space="preserve"> of Women, Youth, Children and Family Affairs</w:t>
            </w:r>
          </w:p>
        </w:tc>
        <w:tc>
          <w:tcPr>
            <w:tcW w:w="1721" w:type="dxa"/>
            <w:hideMark/>
          </w:tcPr>
          <w:p w14:paraId="1528738F"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Diverse women and girls supported to assume a leadership role</w:t>
            </w:r>
          </w:p>
        </w:tc>
        <w:tc>
          <w:tcPr>
            <w:tcW w:w="939" w:type="dxa"/>
            <w:vAlign w:val="center"/>
            <w:hideMark/>
          </w:tcPr>
          <w:p w14:paraId="4BE5FE9A"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250" w:type="dxa"/>
            <w:vAlign w:val="center"/>
            <w:hideMark/>
          </w:tcPr>
          <w:p w14:paraId="516548FD" w14:textId="77777777" w:rsidR="00536C0F" w:rsidRPr="00011D21" w:rsidRDefault="00536C0F" w:rsidP="006978D8">
            <w:pPr>
              <w:spacing w:after="0"/>
              <w:jc w:val="left"/>
              <w:rPr>
                <w:rFonts w:asciiTheme="majorHAnsi" w:eastAsia="Times New Roman" w:hAnsiTheme="majorHAnsi" w:cstheme="majorHAnsi"/>
                <w:sz w:val="20"/>
                <w:szCs w:val="20"/>
              </w:rPr>
            </w:pPr>
          </w:p>
        </w:tc>
        <w:tc>
          <w:tcPr>
            <w:tcW w:w="561" w:type="dxa"/>
            <w:vAlign w:val="center"/>
            <w:hideMark/>
          </w:tcPr>
          <w:p w14:paraId="35ADF31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6D53A9BF"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3DA3EFE9"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250" w:type="dxa"/>
            <w:vAlign w:val="center"/>
            <w:hideMark/>
          </w:tcPr>
          <w:p w14:paraId="55378A4C" w14:textId="77777777" w:rsidR="00536C0F" w:rsidRPr="00011D21" w:rsidRDefault="00536C0F" w:rsidP="006978D8">
            <w:pPr>
              <w:spacing w:after="0"/>
              <w:jc w:val="left"/>
              <w:rPr>
                <w:rFonts w:asciiTheme="majorHAnsi" w:eastAsia="Times New Roman" w:hAnsiTheme="majorHAnsi" w:cstheme="majorHAnsi"/>
                <w:sz w:val="20"/>
                <w:szCs w:val="20"/>
              </w:rPr>
            </w:pPr>
          </w:p>
        </w:tc>
        <w:tc>
          <w:tcPr>
            <w:tcW w:w="1015" w:type="dxa"/>
            <w:vAlign w:val="center"/>
            <w:hideMark/>
          </w:tcPr>
          <w:p w14:paraId="4EC1587B"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6A6C3C7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5558ED56"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4F95CDFD"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16</w:t>
            </w:r>
          </w:p>
        </w:tc>
        <w:tc>
          <w:tcPr>
            <w:tcW w:w="992" w:type="dxa"/>
            <w:vAlign w:val="center"/>
            <w:hideMark/>
          </w:tcPr>
          <w:p w14:paraId="410C4345"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16</w:t>
            </w:r>
          </w:p>
        </w:tc>
      </w:tr>
      <w:tr w:rsidR="00B97657" w:rsidRPr="00536C0F" w14:paraId="76B7BF6E" w14:textId="77777777" w:rsidTr="00B97657">
        <w:trPr>
          <w:trHeight w:val="1680"/>
        </w:trPr>
        <w:tc>
          <w:tcPr>
            <w:tcW w:w="2127" w:type="dxa"/>
            <w:hideMark/>
          </w:tcPr>
          <w:p w14:paraId="7E77FC1C" w14:textId="36B93B3E"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 xml:space="preserve">Supporting the </w:t>
            </w:r>
            <w:r w:rsidR="00B97657" w:rsidRPr="00011D21">
              <w:rPr>
                <w:rFonts w:asciiTheme="majorHAnsi" w:eastAsia="Times New Roman" w:hAnsiTheme="majorHAnsi" w:cstheme="majorHAnsi"/>
                <w:color w:val="000000"/>
                <w:sz w:val="20"/>
                <w:szCs w:val="20"/>
              </w:rPr>
              <w:t>Ministry</w:t>
            </w:r>
            <w:r w:rsidRPr="00011D21">
              <w:rPr>
                <w:rFonts w:asciiTheme="majorHAnsi" w:eastAsia="Times New Roman" w:hAnsiTheme="majorHAnsi" w:cstheme="majorHAnsi"/>
                <w:color w:val="000000"/>
                <w:sz w:val="20"/>
                <w:szCs w:val="20"/>
              </w:rPr>
              <w:t xml:space="preserve"> of Women, Youth, Children and Family Affairs</w:t>
            </w:r>
          </w:p>
        </w:tc>
        <w:tc>
          <w:tcPr>
            <w:tcW w:w="1721" w:type="dxa"/>
            <w:hideMark/>
          </w:tcPr>
          <w:p w14:paraId="5C0FACFD"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Diverse women entrepreneurs provided with financial and/or business development services</w:t>
            </w:r>
          </w:p>
        </w:tc>
        <w:tc>
          <w:tcPr>
            <w:tcW w:w="939" w:type="dxa"/>
            <w:vAlign w:val="center"/>
            <w:hideMark/>
          </w:tcPr>
          <w:p w14:paraId="606C58A0"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998</w:t>
            </w:r>
          </w:p>
        </w:tc>
        <w:tc>
          <w:tcPr>
            <w:tcW w:w="1250" w:type="dxa"/>
            <w:vAlign w:val="center"/>
            <w:hideMark/>
          </w:tcPr>
          <w:p w14:paraId="3790CF7D"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w:t>
            </w:r>
          </w:p>
        </w:tc>
        <w:tc>
          <w:tcPr>
            <w:tcW w:w="561" w:type="dxa"/>
            <w:vAlign w:val="center"/>
            <w:hideMark/>
          </w:tcPr>
          <w:p w14:paraId="4974AE53"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1C507DAC"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56F1E8F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24</w:t>
            </w:r>
          </w:p>
        </w:tc>
        <w:tc>
          <w:tcPr>
            <w:tcW w:w="1250" w:type="dxa"/>
            <w:vAlign w:val="center"/>
            <w:hideMark/>
          </w:tcPr>
          <w:p w14:paraId="1982BEB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015" w:type="dxa"/>
            <w:vAlign w:val="center"/>
            <w:hideMark/>
          </w:tcPr>
          <w:p w14:paraId="47DA7546"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22D1EAA1"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6A22E10D"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5720A343"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992" w:type="dxa"/>
            <w:vAlign w:val="center"/>
            <w:hideMark/>
          </w:tcPr>
          <w:p w14:paraId="1A241EA1"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1023</w:t>
            </w:r>
          </w:p>
        </w:tc>
      </w:tr>
      <w:tr w:rsidR="00B97657" w:rsidRPr="00536C0F" w14:paraId="32E0BDA0" w14:textId="77777777" w:rsidTr="00B97657">
        <w:trPr>
          <w:trHeight w:val="1680"/>
        </w:trPr>
        <w:tc>
          <w:tcPr>
            <w:tcW w:w="2127" w:type="dxa"/>
            <w:hideMark/>
          </w:tcPr>
          <w:p w14:paraId="0237E0F7" w14:textId="62132A24"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 xml:space="preserve">Supporting the </w:t>
            </w:r>
            <w:r w:rsidR="00B97657" w:rsidRPr="00011D21">
              <w:rPr>
                <w:rFonts w:asciiTheme="majorHAnsi" w:eastAsia="Times New Roman" w:hAnsiTheme="majorHAnsi" w:cstheme="majorHAnsi"/>
                <w:color w:val="000000"/>
                <w:sz w:val="20"/>
                <w:szCs w:val="20"/>
              </w:rPr>
              <w:t>Ministry</w:t>
            </w:r>
            <w:r w:rsidRPr="00011D21">
              <w:rPr>
                <w:rFonts w:asciiTheme="majorHAnsi" w:eastAsia="Times New Roman" w:hAnsiTheme="majorHAnsi" w:cstheme="majorHAnsi"/>
                <w:color w:val="000000"/>
                <w:sz w:val="20"/>
                <w:szCs w:val="20"/>
              </w:rPr>
              <w:t xml:space="preserve"> of Women, Youth, Children and Family Affairs</w:t>
            </w:r>
          </w:p>
        </w:tc>
        <w:tc>
          <w:tcPr>
            <w:tcW w:w="1721" w:type="dxa"/>
            <w:hideMark/>
          </w:tcPr>
          <w:p w14:paraId="34BE1CE7"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Number of government staff and development practitioners applying gender mainstreaming tools</w:t>
            </w:r>
          </w:p>
        </w:tc>
        <w:tc>
          <w:tcPr>
            <w:tcW w:w="939" w:type="dxa"/>
            <w:vAlign w:val="center"/>
            <w:hideMark/>
          </w:tcPr>
          <w:p w14:paraId="7C67941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64</w:t>
            </w:r>
          </w:p>
        </w:tc>
        <w:tc>
          <w:tcPr>
            <w:tcW w:w="1250" w:type="dxa"/>
            <w:vAlign w:val="center"/>
            <w:hideMark/>
          </w:tcPr>
          <w:p w14:paraId="2CA96D2F"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561" w:type="dxa"/>
            <w:vAlign w:val="center"/>
            <w:hideMark/>
          </w:tcPr>
          <w:p w14:paraId="7ACE5F57"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5A2C8071"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7848685B"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30</w:t>
            </w:r>
          </w:p>
        </w:tc>
        <w:tc>
          <w:tcPr>
            <w:tcW w:w="1250" w:type="dxa"/>
            <w:vAlign w:val="center"/>
            <w:hideMark/>
          </w:tcPr>
          <w:p w14:paraId="0CD86E30"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015" w:type="dxa"/>
            <w:vAlign w:val="center"/>
            <w:hideMark/>
          </w:tcPr>
          <w:p w14:paraId="6607D61E"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55AE1CF5"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1399B79A"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0B25453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26</w:t>
            </w:r>
          </w:p>
        </w:tc>
        <w:tc>
          <w:tcPr>
            <w:tcW w:w="992" w:type="dxa"/>
            <w:vAlign w:val="center"/>
            <w:hideMark/>
          </w:tcPr>
          <w:p w14:paraId="2FDC561F"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120</w:t>
            </w:r>
          </w:p>
        </w:tc>
      </w:tr>
      <w:tr w:rsidR="00B97657" w:rsidRPr="00536C0F" w14:paraId="500BF464" w14:textId="77777777" w:rsidTr="00B97657">
        <w:trPr>
          <w:trHeight w:val="1680"/>
        </w:trPr>
        <w:tc>
          <w:tcPr>
            <w:tcW w:w="2127" w:type="dxa"/>
            <w:hideMark/>
          </w:tcPr>
          <w:p w14:paraId="72D77F36" w14:textId="16E771F3"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lastRenderedPageBreak/>
              <w:t xml:space="preserve">Supporting the </w:t>
            </w:r>
            <w:r w:rsidR="00B97657" w:rsidRPr="00011D21">
              <w:rPr>
                <w:rFonts w:asciiTheme="majorHAnsi" w:eastAsia="Times New Roman" w:hAnsiTheme="majorHAnsi" w:cstheme="majorHAnsi"/>
                <w:color w:val="000000"/>
                <w:sz w:val="20"/>
                <w:szCs w:val="20"/>
              </w:rPr>
              <w:t>Ministry</w:t>
            </w:r>
            <w:r w:rsidRPr="00011D21">
              <w:rPr>
                <w:rFonts w:asciiTheme="majorHAnsi" w:eastAsia="Times New Roman" w:hAnsiTheme="majorHAnsi" w:cstheme="majorHAnsi"/>
                <w:color w:val="000000"/>
                <w:sz w:val="20"/>
                <w:szCs w:val="20"/>
              </w:rPr>
              <w:t xml:space="preserve"> of Women, Youth, Children and Family Affairs</w:t>
            </w:r>
          </w:p>
        </w:tc>
        <w:tc>
          <w:tcPr>
            <w:tcW w:w="1721" w:type="dxa"/>
            <w:hideMark/>
          </w:tcPr>
          <w:p w14:paraId="50381D86"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Number of mechanisms in place to support gender mainstreaming processes in the government</w:t>
            </w:r>
          </w:p>
        </w:tc>
        <w:tc>
          <w:tcPr>
            <w:tcW w:w="939" w:type="dxa"/>
            <w:vAlign w:val="center"/>
            <w:hideMark/>
          </w:tcPr>
          <w:p w14:paraId="13D16E8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252</w:t>
            </w:r>
          </w:p>
        </w:tc>
        <w:tc>
          <w:tcPr>
            <w:tcW w:w="1250" w:type="dxa"/>
            <w:vAlign w:val="center"/>
            <w:hideMark/>
          </w:tcPr>
          <w:p w14:paraId="648A0A81"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561" w:type="dxa"/>
            <w:vAlign w:val="center"/>
            <w:hideMark/>
          </w:tcPr>
          <w:p w14:paraId="1EC1F26C"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117DE0DE"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25287101"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33</w:t>
            </w:r>
          </w:p>
        </w:tc>
        <w:tc>
          <w:tcPr>
            <w:tcW w:w="1250" w:type="dxa"/>
            <w:vAlign w:val="center"/>
            <w:hideMark/>
          </w:tcPr>
          <w:p w14:paraId="1B83EA5D"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015" w:type="dxa"/>
            <w:vAlign w:val="center"/>
            <w:hideMark/>
          </w:tcPr>
          <w:p w14:paraId="2EC2B1B3"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7E27F78A"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5E506F54"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4ECBCFA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992" w:type="dxa"/>
            <w:vAlign w:val="center"/>
            <w:hideMark/>
          </w:tcPr>
          <w:p w14:paraId="7BE9B685"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285</w:t>
            </w:r>
          </w:p>
        </w:tc>
      </w:tr>
      <w:tr w:rsidR="00B97657" w:rsidRPr="00536C0F" w14:paraId="3D9E462E" w14:textId="77777777" w:rsidTr="00B97657">
        <w:trPr>
          <w:trHeight w:val="1200"/>
        </w:trPr>
        <w:tc>
          <w:tcPr>
            <w:tcW w:w="2127" w:type="dxa"/>
            <w:hideMark/>
          </w:tcPr>
          <w:p w14:paraId="75AB85B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 xml:space="preserve">Supporting the </w:t>
            </w:r>
            <w:proofErr w:type="spellStart"/>
            <w:r w:rsidRPr="00011D21">
              <w:rPr>
                <w:rFonts w:asciiTheme="majorHAnsi" w:eastAsia="Times New Roman" w:hAnsiTheme="majorHAnsi" w:cstheme="majorHAnsi"/>
                <w:color w:val="000000"/>
                <w:sz w:val="20"/>
                <w:szCs w:val="20"/>
              </w:rPr>
              <w:t>Minsitry</w:t>
            </w:r>
            <w:proofErr w:type="spellEnd"/>
            <w:r w:rsidRPr="00011D21">
              <w:rPr>
                <w:rFonts w:asciiTheme="majorHAnsi" w:eastAsia="Times New Roman" w:hAnsiTheme="majorHAnsi" w:cstheme="majorHAnsi"/>
                <w:color w:val="000000"/>
                <w:sz w:val="20"/>
                <w:szCs w:val="20"/>
              </w:rPr>
              <w:t xml:space="preserve"> of Women, Youth, Children and Family Affairs</w:t>
            </w:r>
          </w:p>
        </w:tc>
        <w:tc>
          <w:tcPr>
            <w:tcW w:w="1721" w:type="dxa"/>
            <w:hideMark/>
          </w:tcPr>
          <w:p w14:paraId="50354160"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Number of police, law, and justice officials trained</w:t>
            </w:r>
          </w:p>
        </w:tc>
        <w:tc>
          <w:tcPr>
            <w:tcW w:w="939" w:type="dxa"/>
            <w:vAlign w:val="center"/>
            <w:hideMark/>
          </w:tcPr>
          <w:p w14:paraId="2619EACD"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7</w:t>
            </w:r>
          </w:p>
        </w:tc>
        <w:tc>
          <w:tcPr>
            <w:tcW w:w="1250" w:type="dxa"/>
            <w:vAlign w:val="center"/>
            <w:hideMark/>
          </w:tcPr>
          <w:p w14:paraId="4B5175AA"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561" w:type="dxa"/>
            <w:vAlign w:val="center"/>
            <w:hideMark/>
          </w:tcPr>
          <w:p w14:paraId="0F1BE7A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3C91E26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43A77E3B"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18</w:t>
            </w:r>
          </w:p>
        </w:tc>
        <w:tc>
          <w:tcPr>
            <w:tcW w:w="1250" w:type="dxa"/>
            <w:vAlign w:val="center"/>
            <w:hideMark/>
          </w:tcPr>
          <w:p w14:paraId="0BA27E18"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015" w:type="dxa"/>
            <w:vAlign w:val="center"/>
            <w:hideMark/>
          </w:tcPr>
          <w:p w14:paraId="73CC1E5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78B484E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405AC26B"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74E1677F"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992" w:type="dxa"/>
            <w:vAlign w:val="center"/>
            <w:hideMark/>
          </w:tcPr>
          <w:p w14:paraId="064C712C"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25</w:t>
            </w:r>
          </w:p>
        </w:tc>
      </w:tr>
      <w:tr w:rsidR="00B97657" w:rsidRPr="00536C0F" w14:paraId="73CD34C4" w14:textId="77777777" w:rsidTr="00B97657">
        <w:trPr>
          <w:trHeight w:val="1200"/>
        </w:trPr>
        <w:tc>
          <w:tcPr>
            <w:tcW w:w="2127" w:type="dxa"/>
            <w:hideMark/>
          </w:tcPr>
          <w:p w14:paraId="7BF71817" w14:textId="619208FE"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 xml:space="preserve">Supporting the </w:t>
            </w:r>
            <w:r w:rsidR="00B97657" w:rsidRPr="00011D21">
              <w:rPr>
                <w:rFonts w:asciiTheme="majorHAnsi" w:eastAsia="Times New Roman" w:hAnsiTheme="majorHAnsi" w:cstheme="majorHAnsi"/>
                <w:color w:val="000000"/>
                <w:sz w:val="20"/>
                <w:szCs w:val="20"/>
              </w:rPr>
              <w:t>Ministry</w:t>
            </w:r>
            <w:r w:rsidRPr="00011D21">
              <w:rPr>
                <w:rFonts w:asciiTheme="majorHAnsi" w:eastAsia="Times New Roman" w:hAnsiTheme="majorHAnsi" w:cstheme="majorHAnsi"/>
                <w:color w:val="000000"/>
                <w:sz w:val="20"/>
                <w:szCs w:val="20"/>
              </w:rPr>
              <w:t xml:space="preserve"> of Women, Youth, Children and Family Affairs</w:t>
            </w:r>
          </w:p>
        </w:tc>
        <w:tc>
          <w:tcPr>
            <w:tcW w:w="1721" w:type="dxa"/>
            <w:hideMark/>
          </w:tcPr>
          <w:p w14:paraId="51643233"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Policies addressing leadership, safety, economic empowerment</w:t>
            </w:r>
          </w:p>
        </w:tc>
        <w:tc>
          <w:tcPr>
            <w:tcW w:w="939" w:type="dxa"/>
            <w:vAlign w:val="center"/>
            <w:hideMark/>
          </w:tcPr>
          <w:p w14:paraId="0BE6B48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59</w:t>
            </w:r>
          </w:p>
        </w:tc>
        <w:tc>
          <w:tcPr>
            <w:tcW w:w="1250" w:type="dxa"/>
            <w:vAlign w:val="center"/>
            <w:hideMark/>
          </w:tcPr>
          <w:p w14:paraId="2CA79ADF"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561" w:type="dxa"/>
            <w:vAlign w:val="center"/>
            <w:hideMark/>
          </w:tcPr>
          <w:p w14:paraId="34ED26F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08FCB64A"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61E9DF37"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26</w:t>
            </w:r>
          </w:p>
        </w:tc>
        <w:tc>
          <w:tcPr>
            <w:tcW w:w="1250" w:type="dxa"/>
            <w:vAlign w:val="center"/>
            <w:hideMark/>
          </w:tcPr>
          <w:p w14:paraId="642532DF"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015" w:type="dxa"/>
            <w:vAlign w:val="center"/>
            <w:hideMark/>
          </w:tcPr>
          <w:p w14:paraId="021D727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3EBC6CA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5DA162CA"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1357D69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107</w:t>
            </w:r>
          </w:p>
        </w:tc>
        <w:tc>
          <w:tcPr>
            <w:tcW w:w="992" w:type="dxa"/>
            <w:vAlign w:val="center"/>
            <w:hideMark/>
          </w:tcPr>
          <w:p w14:paraId="2BD05EAF"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192</w:t>
            </w:r>
          </w:p>
        </w:tc>
      </w:tr>
      <w:tr w:rsidR="00B97657" w:rsidRPr="00536C0F" w14:paraId="291698F1" w14:textId="77777777" w:rsidTr="00B97657">
        <w:trPr>
          <w:trHeight w:val="1920"/>
        </w:trPr>
        <w:tc>
          <w:tcPr>
            <w:tcW w:w="2127" w:type="dxa"/>
            <w:hideMark/>
          </w:tcPr>
          <w:p w14:paraId="226E3133"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Women's Rights Action Movement - Women Ignite Stability and Economic Recovery in Solomon Islands (WISER)</w:t>
            </w:r>
          </w:p>
        </w:tc>
        <w:tc>
          <w:tcPr>
            <w:tcW w:w="1721" w:type="dxa"/>
            <w:hideMark/>
          </w:tcPr>
          <w:p w14:paraId="78623DE0"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Diverse women and girls participating in civil society and intergovernmental forums</w:t>
            </w:r>
          </w:p>
        </w:tc>
        <w:tc>
          <w:tcPr>
            <w:tcW w:w="939" w:type="dxa"/>
            <w:vAlign w:val="center"/>
            <w:hideMark/>
          </w:tcPr>
          <w:p w14:paraId="6BECBE1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110</w:t>
            </w:r>
          </w:p>
        </w:tc>
        <w:tc>
          <w:tcPr>
            <w:tcW w:w="1250" w:type="dxa"/>
            <w:vAlign w:val="center"/>
            <w:hideMark/>
          </w:tcPr>
          <w:p w14:paraId="7445AB82"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561" w:type="dxa"/>
            <w:vAlign w:val="center"/>
            <w:hideMark/>
          </w:tcPr>
          <w:p w14:paraId="2FD17FC1"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131EEDC0"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2493A20A"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250" w:type="dxa"/>
            <w:vAlign w:val="center"/>
            <w:hideMark/>
          </w:tcPr>
          <w:p w14:paraId="4EBC1174" w14:textId="77777777" w:rsidR="00536C0F" w:rsidRPr="00011D21" w:rsidRDefault="00536C0F" w:rsidP="006978D8">
            <w:pPr>
              <w:spacing w:after="0"/>
              <w:jc w:val="left"/>
              <w:rPr>
                <w:rFonts w:asciiTheme="majorHAnsi" w:eastAsia="Times New Roman" w:hAnsiTheme="majorHAnsi" w:cstheme="majorHAnsi"/>
                <w:sz w:val="20"/>
                <w:szCs w:val="20"/>
              </w:rPr>
            </w:pPr>
          </w:p>
        </w:tc>
        <w:tc>
          <w:tcPr>
            <w:tcW w:w="1015" w:type="dxa"/>
            <w:vAlign w:val="center"/>
            <w:hideMark/>
          </w:tcPr>
          <w:p w14:paraId="1FF6755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4D00818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277588E9"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631211F5"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35</w:t>
            </w:r>
          </w:p>
        </w:tc>
        <w:tc>
          <w:tcPr>
            <w:tcW w:w="992" w:type="dxa"/>
            <w:vAlign w:val="center"/>
            <w:hideMark/>
          </w:tcPr>
          <w:p w14:paraId="4747D080"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145</w:t>
            </w:r>
          </w:p>
        </w:tc>
      </w:tr>
      <w:tr w:rsidR="00B97657" w:rsidRPr="00536C0F" w14:paraId="55310103" w14:textId="77777777" w:rsidTr="00B97657">
        <w:trPr>
          <w:trHeight w:val="1920"/>
        </w:trPr>
        <w:tc>
          <w:tcPr>
            <w:tcW w:w="2127" w:type="dxa"/>
            <w:hideMark/>
          </w:tcPr>
          <w:p w14:paraId="62F6123E"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Women's Rights Action Movement - Women Ignite Stability and Economic Recovery in Solomon Islands (WISER)</w:t>
            </w:r>
          </w:p>
        </w:tc>
        <w:tc>
          <w:tcPr>
            <w:tcW w:w="1721" w:type="dxa"/>
            <w:hideMark/>
          </w:tcPr>
          <w:p w14:paraId="1526B350"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Diverse women and girls supported to assume a leadership role</w:t>
            </w:r>
          </w:p>
        </w:tc>
        <w:tc>
          <w:tcPr>
            <w:tcW w:w="939" w:type="dxa"/>
            <w:vAlign w:val="center"/>
            <w:hideMark/>
          </w:tcPr>
          <w:p w14:paraId="08B9AEED"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161</w:t>
            </w:r>
          </w:p>
        </w:tc>
        <w:tc>
          <w:tcPr>
            <w:tcW w:w="1250" w:type="dxa"/>
            <w:vAlign w:val="center"/>
            <w:hideMark/>
          </w:tcPr>
          <w:p w14:paraId="567869AD"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w:t>
            </w:r>
          </w:p>
        </w:tc>
        <w:tc>
          <w:tcPr>
            <w:tcW w:w="561" w:type="dxa"/>
            <w:vAlign w:val="center"/>
            <w:hideMark/>
          </w:tcPr>
          <w:p w14:paraId="647AF8CC"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5CA799FA"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24CAECEE"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410</w:t>
            </w:r>
          </w:p>
        </w:tc>
        <w:tc>
          <w:tcPr>
            <w:tcW w:w="1250" w:type="dxa"/>
            <w:vAlign w:val="center"/>
            <w:hideMark/>
          </w:tcPr>
          <w:p w14:paraId="17F02986"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015" w:type="dxa"/>
            <w:vAlign w:val="center"/>
            <w:hideMark/>
          </w:tcPr>
          <w:p w14:paraId="7375C2F5"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07C52393"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30F2678A"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5E7AE841"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992" w:type="dxa"/>
            <w:vAlign w:val="center"/>
            <w:hideMark/>
          </w:tcPr>
          <w:p w14:paraId="2C2CFEA0"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572</w:t>
            </w:r>
          </w:p>
        </w:tc>
      </w:tr>
      <w:tr w:rsidR="00B97657" w:rsidRPr="00536C0F" w14:paraId="1EFE641E" w14:textId="77777777" w:rsidTr="00B97657">
        <w:trPr>
          <w:trHeight w:val="1920"/>
        </w:trPr>
        <w:tc>
          <w:tcPr>
            <w:tcW w:w="2127" w:type="dxa"/>
            <w:hideMark/>
          </w:tcPr>
          <w:p w14:paraId="5400B57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lastRenderedPageBreak/>
              <w:t>Women's Rights Action Movement - Women Ignite Stability and Economic Recovery in Solomon Islands (WISER)</w:t>
            </w:r>
          </w:p>
        </w:tc>
        <w:tc>
          <w:tcPr>
            <w:tcW w:w="1721" w:type="dxa"/>
            <w:hideMark/>
          </w:tcPr>
          <w:p w14:paraId="3A3E8D3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 xml:space="preserve">Number of people who participated in sessions on gender issues and women’s equal rights </w:t>
            </w:r>
          </w:p>
        </w:tc>
        <w:tc>
          <w:tcPr>
            <w:tcW w:w="939" w:type="dxa"/>
            <w:vAlign w:val="center"/>
            <w:hideMark/>
          </w:tcPr>
          <w:p w14:paraId="0CBC61E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1021</w:t>
            </w:r>
          </w:p>
        </w:tc>
        <w:tc>
          <w:tcPr>
            <w:tcW w:w="1250" w:type="dxa"/>
            <w:vAlign w:val="center"/>
            <w:hideMark/>
          </w:tcPr>
          <w:p w14:paraId="3204BC7A"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w:t>
            </w:r>
          </w:p>
        </w:tc>
        <w:tc>
          <w:tcPr>
            <w:tcW w:w="561" w:type="dxa"/>
            <w:vAlign w:val="center"/>
            <w:hideMark/>
          </w:tcPr>
          <w:p w14:paraId="7ABF5AD3"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1A0C4DEF"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65169846"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620</w:t>
            </w:r>
          </w:p>
        </w:tc>
        <w:tc>
          <w:tcPr>
            <w:tcW w:w="1250" w:type="dxa"/>
            <w:vAlign w:val="center"/>
            <w:hideMark/>
          </w:tcPr>
          <w:p w14:paraId="2EDC9617"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10</w:t>
            </w:r>
          </w:p>
        </w:tc>
        <w:tc>
          <w:tcPr>
            <w:tcW w:w="1015" w:type="dxa"/>
            <w:vAlign w:val="center"/>
            <w:hideMark/>
          </w:tcPr>
          <w:p w14:paraId="5F76AFF8"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67499F19"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0E697267"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7E56979B"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20</w:t>
            </w:r>
          </w:p>
        </w:tc>
        <w:tc>
          <w:tcPr>
            <w:tcW w:w="992" w:type="dxa"/>
            <w:vAlign w:val="center"/>
            <w:hideMark/>
          </w:tcPr>
          <w:p w14:paraId="5B030C5E"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1672</w:t>
            </w:r>
          </w:p>
        </w:tc>
      </w:tr>
      <w:tr w:rsidR="00B97657" w:rsidRPr="00536C0F" w14:paraId="4B071D51" w14:textId="77777777" w:rsidTr="00B97657">
        <w:trPr>
          <w:trHeight w:val="1920"/>
        </w:trPr>
        <w:tc>
          <w:tcPr>
            <w:tcW w:w="2127" w:type="dxa"/>
            <w:hideMark/>
          </w:tcPr>
          <w:p w14:paraId="205390F1"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Women's Rights Action Movement - Women Ignite Stability and Economic Recovery in Solomon Islands (WISER)</w:t>
            </w:r>
          </w:p>
        </w:tc>
        <w:tc>
          <w:tcPr>
            <w:tcW w:w="1721" w:type="dxa"/>
            <w:hideMark/>
          </w:tcPr>
          <w:p w14:paraId="40EC3050"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Number of women’s organisations, groups or coalitions actively engaged in the project</w:t>
            </w:r>
          </w:p>
        </w:tc>
        <w:tc>
          <w:tcPr>
            <w:tcW w:w="939" w:type="dxa"/>
            <w:vAlign w:val="center"/>
            <w:hideMark/>
          </w:tcPr>
          <w:p w14:paraId="400640D5"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98</w:t>
            </w:r>
          </w:p>
        </w:tc>
        <w:tc>
          <w:tcPr>
            <w:tcW w:w="1250" w:type="dxa"/>
            <w:vAlign w:val="center"/>
            <w:hideMark/>
          </w:tcPr>
          <w:p w14:paraId="4AF20811"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w:t>
            </w:r>
          </w:p>
        </w:tc>
        <w:tc>
          <w:tcPr>
            <w:tcW w:w="561" w:type="dxa"/>
            <w:vAlign w:val="center"/>
            <w:hideMark/>
          </w:tcPr>
          <w:p w14:paraId="422C421A"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10</w:t>
            </w:r>
          </w:p>
        </w:tc>
        <w:tc>
          <w:tcPr>
            <w:tcW w:w="1250" w:type="dxa"/>
            <w:vAlign w:val="center"/>
            <w:hideMark/>
          </w:tcPr>
          <w:p w14:paraId="36F0B5B0"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4B76FD66"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108</w:t>
            </w:r>
          </w:p>
        </w:tc>
        <w:tc>
          <w:tcPr>
            <w:tcW w:w="1250" w:type="dxa"/>
            <w:vAlign w:val="center"/>
            <w:hideMark/>
          </w:tcPr>
          <w:p w14:paraId="2EE41171"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015" w:type="dxa"/>
            <w:vAlign w:val="center"/>
            <w:hideMark/>
          </w:tcPr>
          <w:p w14:paraId="7E7DD84A"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3CDF9096"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67BA8E26"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7AEC48D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992" w:type="dxa"/>
            <w:vAlign w:val="center"/>
            <w:hideMark/>
          </w:tcPr>
          <w:p w14:paraId="55B2E4FA"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217</w:t>
            </w:r>
          </w:p>
        </w:tc>
      </w:tr>
      <w:tr w:rsidR="00B97657" w:rsidRPr="00536C0F" w14:paraId="07C2BBEF" w14:textId="77777777" w:rsidTr="00B97657">
        <w:trPr>
          <w:trHeight w:val="1920"/>
        </w:trPr>
        <w:tc>
          <w:tcPr>
            <w:tcW w:w="2127" w:type="dxa"/>
            <w:hideMark/>
          </w:tcPr>
          <w:p w14:paraId="6AFC85BD"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Women's Rights Action Movement - Women Ignite Stability and Economic Recovery in Solomon Islands (WISER)</w:t>
            </w:r>
          </w:p>
        </w:tc>
        <w:tc>
          <w:tcPr>
            <w:tcW w:w="1721" w:type="dxa"/>
            <w:hideMark/>
          </w:tcPr>
          <w:p w14:paraId="74A39147"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Policies addressing leadership, safety, economic empowerment</w:t>
            </w:r>
          </w:p>
        </w:tc>
        <w:tc>
          <w:tcPr>
            <w:tcW w:w="939" w:type="dxa"/>
            <w:vAlign w:val="center"/>
            <w:hideMark/>
          </w:tcPr>
          <w:p w14:paraId="4209471B"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57</w:t>
            </w:r>
          </w:p>
        </w:tc>
        <w:tc>
          <w:tcPr>
            <w:tcW w:w="1250" w:type="dxa"/>
            <w:vAlign w:val="center"/>
            <w:hideMark/>
          </w:tcPr>
          <w:p w14:paraId="78F9A974"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10</w:t>
            </w:r>
          </w:p>
        </w:tc>
        <w:tc>
          <w:tcPr>
            <w:tcW w:w="561" w:type="dxa"/>
            <w:vAlign w:val="center"/>
            <w:hideMark/>
          </w:tcPr>
          <w:p w14:paraId="1CE6AE65"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50" w:type="dxa"/>
            <w:vAlign w:val="center"/>
            <w:hideMark/>
          </w:tcPr>
          <w:p w14:paraId="58BD17DB"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661" w:type="dxa"/>
            <w:vAlign w:val="center"/>
            <w:hideMark/>
          </w:tcPr>
          <w:p w14:paraId="69490B1E"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67</w:t>
            </w:r>
          </w:p>
        </w:tc>
        <w:tc>
          <w:tcPr>
            <w:tcW w:w="1250" w:type="dxa"/>
            <w:vAlign w:val="center"/>
            <w:hideMark/>
          </w:tcPr>
          <w:p w14:paraId="323C6095"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6</w:t>
            </w:r>
          </w:p>
        </w:tc>
        <w:tc>
          <w:tcPr>
            <w:tcW w:w="1015" w:type="dxa"/>
            <w:vAlign w:val="center"/>
            <w:hideMark/>
          </w:tcPr>
          <w:p w14:paraId="5151F012"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5" w:type="dxa"/>
            <w:vAlign w:val="center"/>
            <w:hideMark/>
          </w:tcPr>
          <w:p w14:paraId="4F73C85E"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0</w:t>
            </w:r>
          </w:p>
        </w:tc>
        <w:tc>
          <w:tcPr>
            <w:tcW w:w="1276" w:type="dxa"/>
            <w:vAlign w:val="center"/>
            <w:hideMark/>
          </w:tcPr>
          <w:p w14:paraId="27DA9238" w14:textId="77777777" w:rsidR="00536C0F" w:rsidRPr="00011D21" w:rsidRDefault="00536C0F" w:rsidP="006978D8">
            <w:pPr>
              <w:spacing w:after="0"/>
              <w:jc w:val="left"/>
              <w:rPr>
                <w:rFonts w:asciiTheme="majorHAnsi" w:eastAsia="Times New Roman" w:hAnsiTheme="majorHAnsi" w:cstheme="majorHAnsi"/>
                <w:color w:val="000000"/>
                <w:sz w:val="20"/>
                <w:szCs w:val="20"/>
              </w:rPr>
            </w:pPr>
          </w:p>
        </w:tc>
        <w:tc>
          <w:tcPr>
            <w:tcW w:w="1701" w:type="dxa"/>
            <w:vAlign w:val="center"/>
            <w:hideMark/>
          </w:tcPr>
          <w:p w14:paraId="0728408B"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190</w:t>
            </w:r>
          </w:p>
        </w:tc>
        <w:tc>
          <w:tcPr>
            <w:tcW w:w="992" w:type="dxa"/>
            <w:vAlign w:val="center"/>
            <w:hideMark/>
          </w:tcPr>
          <w:p w14:paraId="2E40D1F0" w14:textId="77777777" w:rsidR="00536C0F" w:rsidRPr="00011D21" w:rsidRDefault="00536C0F" w:rsidP="006978D8">
            <w:pPr>
              <w:spacing w:after="0"/>
              <w:jc w:val="left"/>
              <w:rPr>
                <w:rFonts w:asciiTheme="majorHAnsi" w:eastAsia="Times New Roman" w:hAnsiTheme="majorHAnsi" w:cstheme="majorHAnsi"/>
                <w:color w:val="000000"/>
                <w:sz w:val="20"/>
                <w:szCs w:val="20"/>
              </w:rPr>
            </w:pPr>
            <w:r w:rsidRPr="00011D21">
              <w:rPr>
                <w:rFonts w:asciiTheme="majorHAnsi" w:eastAsia="Times New Roman" w:hAnsiTheme="majorHAnsi" w:cstheme="majorHAnsi"/>
                <w:color w:val="000000"/>
                <w:sz w:val="20"/>
                <w:szCs w:val="20"/>
              </w:rPr>
              <w:t>330</w:t>
            </w:r>
          </w:p>
        </w:tc>
      </w:tr>
      <w:tr w:rsidR="00B97657" w:rsidRPr="00536C0F" w14:paraId="1D6B92F7" w14:textId="77777777" w:rsidTr="00B97657">
        <w:trPr>
          <w:trHeight w:val="295"/>
        </w:trPr>
        <w:tc>
          <w:tcPr>
            <w:tcW w:w="2127" w:type="dxa"/>
            <w:shd w:val="clear" w:color="auto" w:fill="006699"/>
            <w:vAlign w:val="center"/>
          </w:tcPr>
          <w:p w14:paraId="7B2A17F7" w14:textId="6FE734EB" w:rsidR="00536C0F" w:rsidRPr="00011D21" w:rsidRDefault="00EF4C0D" w:rsidP="006978D8">
            <w:pPr>
              <w:spacing w:after="0"/>
              <w:jc w:val="left"/>
              <w:rPr>
                <w:rFonts w:asciiTheme="majorHAnsi" w:eastAsia="Times New Roman" w:hAnsiTheme="majorHAnsi" w:cstheme="majorHAnsi"/>
                <w:b/>
                <w:bCs/>
                <w:color w:val="FFFFFF" w:themeColor="background1"/>
                <w:sz w:val="20"/>
                <w:szCs w:val="20"/>
              </w:rPr>
            </w:pPr>
            <w:r w:rsidRPr="00011D21">
              <w:rPr>
                <w:rFonts w:asciiTheme="majorHAnsi" w:eastAsia="Times New Roman" w:hAnsiTheme="majorHAnsi" w:cstheme="majorHAnsi"/>
                <w:b/>
                <w:bCs/>
                <w:color w:val="FFFFFF" w:themeColor="background1"/>
                <w:sz w:val="20"/>
                <w:szCs w:val="20"/>
              </w:rPr>
              <w:t>TOTAL</w:t>
            </w:r>
          </w:p>
        </w:tc>
        <w:tc>
          <w:tcPr>
            <w:tcW w:w="1721" w:type="dxa"/>
            <w:shd w:val="clear" w:color="auto" w:fill="006699"/>
            <w:vAlign w:val="center"/>
          </w:tcPr>
          <w:p w14:paraId="18E659E1" w14:textId="77777777" w:rsidR="00536C0F" w:rsidRPr="00011D21" w:rsidRDefault="00536C0F" w:rsidP="006978D8">
            <w:pPr>
              <w:spacing w:after="0"/>
              <w:jc w:val="left"/>
              <w:rPr>
                <w:rFonts w:asciiTheme="majorHAnsi" w:eastAsia="Times New Roman" w:hAnsiTheme="majorHAnsi" w:cstheme="majorHAnsi"/>
                <w:b/>
                <w:bCs/>
                <w:color w:val="FFFFFF" w:themeColor="background1"/>
                <w:sz w:val="20"/>
                <w:szCs w:val="20"/>
              </w:rPr>
            </w:pPr>
          </w:p>
        </w:tc>
        <w:tc>
          <w:tcPr>
            <w:tcW w:w="939" w:type="dxa"/>
            <w:shd w:val="clear" w:color="auto" w:fill="006699"/>
            <w:vAlign w:val="center"/>
          </w:tcPr>
          <w:p w14:paraId="5812C143" w14:textId="3A62FA22" w:rsidR="00536C0F" w:rsidRPr="00011D21" w:rsidRDefault="00EF4C0D" w:rsidP="006978D8">
            <w:pPr>
              <w:spacing w:after="0"/>
              <w:jc w:val="left"/>
              <w:rPr>
                <w:rFonts w:asciiTheme="majorHAnsi" w:eastAsia="Times New Roman" w:hAnsiTheme="majorHAnsi" w:cstheme="majorHAnsi"/>
                <w:b/>
                <w:bCs/>
                <w:color w:val="FFFFFF" w:themeColor="background1"/>
                <w:sz w:val="20"/>
                <w:szCs w:val="20"/>
              </w:rPr>
            </w:pPr>
            <w:r w:rsidRPr="00011D21">
              <w:rPr>
                <w:rFonts w:asciiTheme="majorHAnsi" w:eastAsia="Times New Roman" w:hAnsiTheme="majorHAnsi" w:cstheme="majorHAnsi"/>
                <w:b/>
                <w:bCs/>
                <w:color w:val="FFFFFF" w:themeColor="background1"/>
                <w:sz w:val="20"/>
                <w:szCs w:val="20"/>
              </w:rPr>
              <w:t>8928</w:t>
            </w:r>
          </w:p>
        </w:tc>
        <w:tc>
          <w:tcPr>
            <w:tcW w:w="1250" w:type="dxa"/>
            <w:shd w:val="clear" w:color="auto" w:fill="006699"/>
            <w:vAlign w:val="center"/>
          </w:tcPr>
          <w:p w14:paraId="628D0DD7" w14:textId="6955A37A" w:rsidR="00536C0F" w:rsidRPr="00011D21" w:rsidRDefault="00EF4C0D" w:rsidP="006978D8">
            <w:pPr>
              <w:spacing w:after="0"/>
              <w:jc w:val="left"/>
              <w:rPr>
                <w:rFonts w:asciiTheme="majorHAnsi" w:eastAsia="Times New Roman" w:hAnsiTheme="majorHAnsi" w:cstheme="majorHAnsi"/>
                <w:b/>
                <w:bCs/>
                <w:color w:val="FFFFFF" w:themeColor="background1"/>
                <w:sz w:val="20"/>
                <w:szCs w:val="20"/>
              </w:rPr>
            </w:pPr>
            <w:r w:rsidRPr="00011D21">
              <w:rPr>
                <w:rFonts w:asciiTheme="majorHAnsi" w:eastAsia="Times New Roman" w:hAnsiTheme="majorHAnsi" w:cstheme="majorHAnsi"/>
                <w:b/>
                <w:bCs/>
                <w:color w:val="FFFFFF" w:themeColor="background1"/>
                <w:sz w:val="20"/>
                <w:szCs w:val="20"/>
              </w:rPr>
              <w:t>135</w:t>
            </w:r>
          </w:p>
        </w:tc>
        <w:tc>
          <w:tcPr>
            <w:tcW w:w="561" w:type="dxa"/>
            <w:shd w:val="clear" w:color="auto" w:fill="006699"/>
            <w:vAlign w:val="center"/>
          </w:tcPr>
          <w:p w14:paraId="5858DD87" w14:textId="00371202" w:rsidR="00536C0F" w:rsidRPr="00011D21" w:rsidRDefault="00EF4C0D" w:rsidP="006978D8">
            <w:pPr>
              <w:spacing w:after="0"/>
              <w:jc w:val="left"/>
              <w:rPr>
                <w:rFonts w:asciiTheme="majorHAnsi" w:eastAsia="Times New Roman" w:hAnsiTheme="majorHAnsi" w:cstheme="majorHAnsi"/>
                <w:b/>
                <w:bCs/>
                <w:color w:val="FFFFFF" w:themeColor="background1"/>
                <w:sz w:val="20"/>
                <w:szCs w:val="20"/>
              </w:rPr>
            </w:pPr>
            <w:r w:rsidRPr="00011D21">
              <w:rPr>
                <w:rFonts w:asciiTheme="majorHAnsi" w:eastAsia="Times New Roman" w:hAnsiTheme="majorHAnsi" w:cstheme="majorHAnsi"/>
                <w:b/>
                <w:bCs/>
                <w:color w:val="FFFFFF" w:themeColor="background1"/>
                <w:sz w:val="20"/>
                <w:szCs w:val="20"/>
              </w:rPr>
              <w:t>147</w:t>
            </w:r>
          </w:p>
        </w:tc>
        <w:tc>
          <w:tcPr>
            <w:tcW w:w="1250" w:type="dxa"/>
            <w:shd w:val="clear" w:color="auto" w:fill="006699"/>
            <w:vAlign w:val="center"/>
          </w:tcPr>
          <w:p w14:paraId="64375783" w14:textId="50ED5552" w:rsidR="00536C0F" w:rsidRPr="00011D21" w:rsidRDefault="002944C6" w:rsidP="006978D8">
            <w:pPr>
              <w:spacing w:after="0"/>
              <w:jc w:val="left"/>
              <w:rPr>
                <w:rFonts w:asciiTheme="majorHAnsi" w:eastAsia="Times New Roman" w:hAnsiTheme="majorHAnsi" w:cstheme="majorHAnsi"/>
                <w:b/>
                <w:bCs/>
                <w:color w:val="FFFFFF" w:themeColor="background1"/>
                <w:sz w:val="20"/>
                <w:szCs w:val="20"/>
              </w:rPr>
            </w:pPr>
            <w:r w:rsidRPr="00011D21">
              <w:rPr>
                <w:rFonts w:asciiTheme="majorHAnsi" w:eastAsia="Times New Roman" w:hAnsiTheme="majorHAnsi" w:cstheme="majorHAnsi"/>
                <w:b/>
                <w:bCs/>
                <w:color w:val="FFFFFF" w:themeColor="background1"/>
                <w:sz w:val="20"/>
                <w:szCs w:val="20"/>
              </w:rPr>
              <w:t>1</w:t>
            </w:r>
          </w:p>
        </w:tc>
        <w:tc>
          <w:tcPr>
            <w:tcW w:w="661" w:type="dxa"/>
            <w:shd w:val="clear" w:color="auto" w:fill="006699"/>
            <w:vAlign w:val="center"/>
          </w:tcPr>
          <w:p w14:paraId="3A2523C4" w14:textId="144DF133" w:rsidR="00536C0F" w:rsidRPr="00011D21" w:rsidRDefault="002944C6" w:rsidP="006978D8">
            <w:pPr>
              <w:spacing w:after="0"/>
              <w:jc w:val="left"/>
              <w:rPr>
                <w:rFonts w:asciiTheme="majorHAnsi" w:eastAsia="Times New Roman" w:hAnsiTheme="majorHAnsi" w:cstheme="majorHAnsi"/>
                <w:b/>
                <w:bCs/>
                <w:color w:val="FFFFFF" w:themeColor="background1"/>
                <w:sz w:val="20"/>
                <w:szCs w:val="20"/>
              </w:rPr>
            </w:pPr>
            <w:r w:rsidRPr="00011D21">
              <w:rPr>
                <w:rFonts w:asciiTheme="majorHAnsi" w:eastAsia="Times New Roman" w:hAnsiTheme="majorHAnsi" w:cstheme="majorHAnsi"/>
                <w:b/>
                <w:bCs/>
                <w:color w:val="FFFFFF" w:themeColor="background1"/>
                <w:sz w:val="20"/>
                <w:szCs w:val="20"/>
              </w:rPr>
              <w:t>5412</w:t>
            </w:r>
          </w:p>
        </w:tc>
        <w:tc>
          <w:tcPr>
            <w:tcW w:w="1250" w:type="dxa"/>
            <w:shd w:val="clear" w:color="auto" w:fill="006699"/>
            <w:vAlign w:val="center"/>
          </w:tcPr>
          <w:p w14:paraId="3DD9F49D" w14:textId="674AEEDC" w:rsidR="00536C0F" w:rsidRPr="00011D21" w:rsidRDefault="002944C6" w:rsidP="006978D8">
            <w:pPr>
              <w:spacing w:after="0"/>
              <w:jc w:val="left"/>
              <w:rPr>
                <w:rFonts w:asciiTheme="majorHAnsi" w:eastAsia="Times New Roman" w:hAnsiTheme="majorHAnsi" w:cstheme="majorHAnsi"/>
                <w:b/>
                <w:bCs/>
                <w:color w:val="FFFFFF" w:themeColor="background1"/>
                <w:sz w:val="20"/>
                <w:szCs w:val="20"/>
              </w:rPr>
            </w:pPr>
            <w:r w:rsidRPr="00011D21">
              <w:rPr>
                <w:rFonts w:asciiTheme="majorHAnsi" w:eastAsia="Times New Roman" w:hAnsiTheme="majorHAnsi" w:cstheme="majorHAnsi"/>
                <w:b/>
                <w:bCs/>
                <w:color w:val="FFFFFF" w:themeColor="background1"/>
                <w:sz w:val="20"/>
                <w:szCs w:val="20"/>
              </w:rPr>
              <w:t>102</w:t>
            </w:r>
          </w:p>
        </w:tc>
        <w:tc>
          <w:tcPr>
            <w:tcW w:w="1015" w:type="dxa"/>
            <w:shd w:val="clear" w:color="auto" w:fill="006699"/>
            <w:vAlign w:val="center"/>
          </w:tcPr>
          <w:p w14:paraId="6D89FFC7" w14:textId="54FB1BF1" w:rsidR="002944C6" w:rsidRPr="00011D21" w:rsidRDefault="002944C6" w:rsidP="006978D8">
            <w:pPr>
              <w:spacing w:after="0"/>
              <w:jc w:val="left"/>
              <w:rPr>
                <w:rFonts w:asciiTheme="majorHAnsi" w:eastAsia="Times New Roman" w:hAnsiTheme="majorHAnsi" w:cstheme="majorHAnsi"/>
                <w:b/>
                <w:bCs/>
                <w:color w:val="FFFFFF" w:themeColor="background1"/>
                <w:sz w:val="20"/>
                <w:szCs w:val="20"/>
              </w:rPr>
            </w:pPr>
            <w:r w:rsidRPr="00011D21">
              <w:rPr>
                <w:rFonts w:asciiTheme="majorHAnsi" w:eastAsia="Times New Roman" w:hAnsiTheme="majorHAnsi" w:cstheme="majorHAnsi"/>
                <w:b/>
                <w:bCs/>
                <w:color w:val="FFFFFF" w:themeColor="background1"/>
                <w:sz w:val="20"/>
                <w:szCs w:val="20"/>
              </w:rPr>
              <w:t>23</w:t>
            </w:r>
          </w:p>
        </w:tc>
        <w:tc>
          <w:tcPr>
            <w:tcW w:w="1275" w:type="dxa"/>
            <w:shd w:val="clear" w:color="auto" w:fill="006699"/>
            <w:vAlign w:val="center"/>
          </w:tcPr>
          <w:p w14:paraId="62265FD7" w14:textId="4276DA81" w:rsidR="00536C0F" w:rsidRPr="00011D21" w:rsidRDefault="002944C6" w:rsidP="006978D8">
            <w:pPr>
              <w:spacing w:after="0"/>
              <w:jc w:val="left"/>
              <w:rPr>
                <w:rFonts w:asciiTheme="majorHAnsi" w:eastAsia="Times New Roman" w:hAnsiTheme="majorHAnsi" w:cstheme="majorHAnsi"/>
                <w:b/>
                <w:bCs/>
                <w:color w:val="FFFFFF" w:themeColor="background1"/>
                <w:sz w:val="20"/>
                <w:szCs w:val="20"/>
              </w:rPr>
            </w:pPr>
            <w:r w:rsidRPr="00011D21">
              <w:rPr>
                <w:rFonts w:asciiTheme="majorHAnsi" w:eastAsia="Times New Roman" w:hAnsiTheme="majorHAnsi" w:cstheme="majorHAnsi"/>
                <w:b/>
                <w:bCs/>
                <w:color w:val="FFFFFF" w:themeColor="background1"/>
                <w:sz w:val="20"/>
                <w:szCs w:val="20"/>
              </w:rPr>
              <w:t>0</w:t>
            </w:r>
          </w:p>
        </w:tc>
        <w:tc>
          <w:tcPr>
            <w:tcW w:w="1276" w:type="dxa"/>
            <w:shd w:val="clear" w:color="auto" w:fill="006699"/>
            <w:vAlign w:val="center"/>
          </w:tcPr>
          <w:p w14:paraId="7537A055" w14:textId="77777777" w:rsidR="00536C0F" w:rsidRPr="00011D21" w:rsidRDefault="00536C0F" w:rsidP="006978D8">
            <w:pPr>
              <w:spacing w:after="0"/>
              <w:jc w:val="left"/>
              <w:rPr>
                <w:rFonts w:asciiTheme="majorHAnsi" w:eastAsia="Times New Roman" w:hAnsiTheme="majorHAnsi" w:cstheme="majorHAnsi"/>
                <w:b/>
                <w:bCs/>
                <w:color w:val="FFFFFF" w:themeColor="background1"/>
                <w:sz w:val="20"/>
                <w:szCs w:val="20"/>
              </w:rPr>
            </w:pPr>
          </w:p>
        </w:tc>
        <w:tc>
          <w:tcPr>
            <w:tcW w:w="1701" w:type="dxa"/>
            <w:shd w:val="clear" w:color="auto" w:fill="006699"/>
            <w:vAlign w:val="center"/>
          </w:tcPr>
          <w:p w14:paraId="720EC5ED" w14:textId="31F637E0" w:rsidR="00536C0F" w:rsidRPr="00011D21" w:rsidRDefault="00011D21" w:rsidP="006978D8">
            <w:pPr>
              <w:spacing w:after="0"/>
              <w:jc w:val="left"/>
              <w:rPr>
                <w:rFonts w:asciiTheme="majorHAnsi" w:eastAsia="Times New Roman" w:hAnsiTheme="majorHAnsi" w:cstheme="majorHAnsi"/>
                <w:b/>
                <w:bCs/>
                <w:color w:val="FFFFFF" w:themeColor="background1"/>
                <w:sz w:val="20"/>
                <w:szCs w:val="20"/>
              </w:rPr>
            </w:pPr>
            <w:r w:rsidRPr="00011D21">
              <w:rPr>
                <w:rFonts w:asciiTheme="majorHAnsi" w:eastAsia="Times New Roman" w:hAnsiTheme="majorHAnsi" w:cstheme="majorHAnsi"/>
                <w:b/>
                <w:bCs/>
                <w:color w:val="FFFFFF" w:themeColor="background1"/>
                <w:sz w:val="20"/>
                <w:szCs w:val="20"/>
              </w:rPr>
              <w:t>2173</w:t>
            </w:r>
          </w:p>
        </w:tc>
        <w:tc>
          <w:tcPr>
            <w:tcW w:w="992" w:type="dxa"/>
            <w:shd w:val="clear" w:color="auto" w:fill="006699"/>
            <w:vAlign w:val="center"/>
          </w:tcPr>
          <w:p w14:paraId="3BCC086A" w14:textId="1D352EBC" w:rsidR="00536C0F" w:rsidRPr="00011D21" w:rsidRDefault="00011D21" w:rsidP="006978D8">
            <w:pPr>
              <w:spacing w:after="0"/>
              <w:jc w:val="left"/>
              <w:rPr>
                <w:rFonts w:asciiTheme="majorHAnsi" w:eastAsia="Times New Roman" w:hAnsiTheme="majorHAnsi" w:cstheme="majorHAnsi"/>
                <w:b/>
                <w:bCs/>
                <w:color w:val="FFFFFF" w:themeColor="background1"/>
                <w:sz w:val="20"/>
                <w:szCs w:val="20"/>
              </w:rPr>
            </w:pPr>
            <w:r w:rsidRPr="00011D21">
              <w:rPr>
                <w:rFonts w:asciiTheme="majorHAnsi" w:eastAsia="Times New Roman" w:hAnsiTheme="majorHAnsi" w:cstheme="majorHAnsi"/>
                <w:b/>
                <w:bCs/>
                <w:color w:val="FFFFFF" w:themeColor="background1"/>
                <w:sz w:val="20"/>
                <w:szCs w:val="20"/>
              </w:rPr>
              <w:t>16921</w:t>
            </w:r>
          </w:p>
        </w:tc>
      </w:tr>
    </w:tbl>
    <w:p w14:paraId="4168AD1F" w14:textId="1AB37D9A" w:rsidR="00023396" w:rsidRPr="00023396" w:rsidRDefault="00023396" w:rsidP="006978D8">
      <w:pPr>
        <w:pStyle w:val="BodyText"/>
        <w:rPr>
          <w:rFonts w:asciiTheme="majorHAnsi" w:hAnsiTheme="majorHAnsi" w:cstheme="majorHAnsi"/>
          <w:szCs w:val="20"/>
        </w:rPr>
      </w:pPr>
    </w:p>
    <w:sectPr w:rsidR="00023396" w:rsidRPr="00023396" w:rsidSect="004B4389">
      <w:pgSz w:w="16840" w:h="11906" w:orient="landscape" w:code="9"/>
      <w:pgMar w:top="1276" w:right="1152" w:bottom="991" w:left="1152"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46898" w14:textId="77777777" w:rsidR="00380D9C" w:rsidRPr="00F56579" w:rsidRDefault="00380D9C" w:rsidP="00FF0858">
      <w:pPr>
        <w:spacing w:after="0"/>
      </w:pPr>
      <w:r w:rsidRPr="00F56579">
        <w:separator/>
      </w:r>
    </w:p>
  </w:endnote>
  <w:endnote w:type="continuationSeparator" w:id="0">
    <w:p w14:paraId="0C62B06F" w14:textId="77777777" w:rsidR="00380D9C" w:rsidRPr="00F56579" w:rsidRDefault="00380D9C" w:rsidP="00FF0858">
      <w:pPr>
        <w:spacing w:after="0"/>
      </w:pPr>
      <w:r w:rsidRPr="00F56579">
        <w:continuationSeparator/>
      </w:r>
    </w:p>
  </w:endnote>
  <w:endnote w:type="continuationNotice" w:id="1">
    <w:p w14:paraId="365EE0CF" w14:textId="77777777" w:rsidR="00380D9C" w:rsidRPr="00F56579" w:rsidRDefault="00380D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E75" w14:textId="35E6D5C8" w:rsidR="009A6D92" w:rsidRPr="00F56579" w:rsidRDefault="009A6D92" w:rsidP="00EB533D">
    <w:pPr>
      <w:pStyle w:val="tablebullet"/>
    </w:pPr>
    <w:r w:rsidRPr="00F56579">
      <w:fldChar w:fldCharType="begin"/>
    </w:r>
    <w:r w:rsidRPr="00F56579">
      <w:instrText xml:space="preserve"> PAGE   \* MERGEFORMAT </w:instrText>
    </w:r>
    <w:r w:rsidRPr="00F56579">
      <w:fldChar w:fldCharType="separate"/>
    </w:r>
    <w:r w:rsidRPr="00F56579">
      <w:t>iv</w:t>
    </w:r>
    <w:r w:rsidRPr="00F56579">
      <w:fldChar w:fldCharType="end"/>
    </w:r>
    <w:r w:rsidRPr="00F56579">
      <w:ptab w:relativeTo="margin" w:alignment="right" w:leader="none"/>
    </w:r>
    <w:r w:rsidRPr="00F56579">
      <w:t>PWSPD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9FD0" w14:textId="15E6E5C6" w:rsidR="00CC0D37" w:rsidRPr="00F56579" w:rsidRDefault="00CC0D37" w:rsidP="00CC0D37">
    <w:pPr>
      <w:pStyle w:val="Footer"/>
      <w:spacing w:after="120"/>
      <w:jc w:val="center"/>
      <w:rPr>
        <w:b/>
        <w:color w:val="0798BB" w:themeColor="accent4"/>
        <w:sz w:val="20"/>
        <w:szCs w:val="20"/>
      </w:rPr>
    </w:pPr>
    <w:r w:rsidRPr="00F56579">
      <w:rPr>
        <w:b/>
        <w:noProof/>
        <w:color w:val="0798BB" w:themeColor="accent4"/>
        <w:sz w:val="20"/>
        <w:szCs w:val="20"/>
      </w:rPr>
      <w:drawing>
        <wp:inline distT="0" distB="0" distL="0" distR="0" wp14:anchorId="5609AA41" wp14:editId="6B6251E1">
          <wp:extent cx="6120130" cy="1104265"/>
          <wp:effectExtent l="0" t="0" r="0" b="635"/>
          <wp:docPr id="2060871527" name="Picture 2060871527" descr="Decorative m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37865" name="Picture 1993837865" descr="Decorative motif"/>
                  <pic:cNvPicPr/>
                </pic:nvPicPr>
                <pic:blipFill>
                  <a:blip r:embed="rId1">
                    <a:extLst>
                      <a:ext uri="{28A0092B-C50C-407E-A947-70E740481C1C}">
                        <a14:useLocalDpi xmlns:a14="http://schemas.microsoft.com/office/drawing/2010/main" val="0"/>
                      </a:ext>
                    </a:extLst>
                  </a:blip>
                  <a:stretch>
                    <a:fillRect/>
                  </a:stretch>
                </pic:blipFill>
                <pic:spPr>
                  <a:xfrm>
                    <a:off x="0" y="0"/>
                    <a:ext cx="6120130" cy="11042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725D" w14:textId="1AE2F607" w:rsidR="0039726C" w:rsidRPr="00F56579" w:rsidRDefault="0039726C" w:rsidP="00707818">
    <w:pPr>
      <w:pStyle w:val="Footer"/>
      <w:jc w:val="left"/>
    </w:pPr>
    <w:r w:rsidRPr="00F56579">
      <w:rPr>
        <w:rFonts w:ascii="Arial" w:hAnsi="Arial" w:cs="Arial"/>
        <w:color w:val="44546A" w:themeColor="text2"/>
        <w:szCs w:val="16"/>
      </w:rPr>
      <w:t>P</w:t>
    </w:r>
    <w:r w:rsidR="000A3C58" w:rsidRPr="00F56579">
      <w:rPr>
        <w:rFonts w:ascii="Arial" w:hAnsi="Arial" w:cs="Arial"/>
        <w:color w:val="44546A" w:themeColor="text2"/>
        <w:szCs w:val="16"/>
      </w:rPr>
      <w:t>acific</w:t>
    </w:r>
    <w:r w:rsidRPr="00F56579">
      <w:rPr>
        <w:rFonts w:ascii="Arial" w:hAnsi="Arial" w:cs="Arial"/>
        <w:color w:val="44546A" w:themeColor="text2"/>
        <w:szCs w:val="16"/>
      </w:rPr>
      <w:t xml:space="preserve"> W</w:t>
    </w:r>
    <w:r w:rsidR="000A3C58" w:rsidRPr="00F56579">
      <w:rPr>
        <w:rFonts w:ascii="Arial" w:hAnsi="Arial" w:cs="Arial"/>
        <w:color w:val="44546A" w:themeColor="text2"/>
        <w:szCs w:val="16"/>
      </w:rPr>
      <w:t>omen</w:t>
    </w:r>
    <w:r w:rsidRPr="00F56579">
      <w:rPr>
        <w:rFonts w:ascii="Arial" w:hAnsi="Arial" w:cs="Arial"/>
        <w:color w:val="44546A" w:themeColor="text2"/>
        <w:szCs w:val="16"/>
      </w:rPr>
      <w:t xml:space="preserve"> L</w:t>
    </w:r>
    <w:r w:rsidR="000A3C58" w:rsidRPr="00F56579">
      <w:rPr>
        <w:rFonts w:ascii="Arial" w:hAnsi="Arial" w:cs="Arial"/>
        <w:color w:val="44546A" w:themeColor="text2"/>
        <w:szCs w:val="16"/>
      </w:rPr>
      <w:t>ead</w:t>
    </w:r>
    <w:r w:rsidRPr="00F56579">
      <w:rPr>
        <w:rFonts w:ascii="Arial" w:hAnsi="Arial" w:cs="Arial"/>
        <w:color w:val="44546A" w:themeColor="text2"/>
        <w:szCs w:val="16"/>
      </w:rPr>
      <w:t xml:space="preserve"> E</w:t>
    </w:r>
    <w:r w:rsidR="000A3C58" w:rsidRPr="00F56579">
      <w:rPr>
        <w:rFonts w:ascii="Arial" w:hAnsi="Arial" w:cs="Arial"/>
        <w:color w:val="44546A" w:themeColor="text2"/>
        <w:szCs w:val="16"/>
      </w:rPr>
      <w:t>nabling</w:t>
    </w:r>
    <w:r w:rsidRPr="00F56579">
      <w:rPr>
        <w:rFonts w:ascii="Arial" w:hAnsi="Arial" w:cs="Arial"/>
        <w:color w:val="44546A" w:themeColor="text2"/>
        <w:szCs w:val="16"/>
      </w:rPr>
      <w:t xml:space="preserve"> S</w:t>
    </w:r>
    <w:r w:rsidR="000A3C58" w:rsidRPr="00F56579">
      <w:rPr>
        <w:rFonts w:ascii="Arial" w:hAnsi="Arial" w:cs="Arial"/>
        <w:color w:val="44546A" w:themeColor="text2"/>
        <w:szCs w:val="16"/>
      </w:rPr>
      <w:t>ervices</w:t>
    </w:r>
    <w:r w:rsidRPr="00F56579">
      <w:rPr>
        <w:rFonts w:ascii="Arial" w:hAnsi="Arial" w:cs="Arial"/>
        <w:color w:val="44546A" w:themeColor="text2"/>
        <w:szCs w:val="16"/>
      </w:rPr>
      <w:ptab w:relativeTo="margin" w:alignment="right" w:leader="none"/>
    </w:r>
    <w:r w:rsidRPr="00F56579">
      <w:rPr>
        <w:rFonts w:ascii="Arial" w:hAnsi="Arial" w:cs="Arial"/>
        <w:color w:val="44546A" w:themeColor="text2"/>
        <w:szCs w:val="16"/>
      </w:rPr>
      <w:fldChar w:fldCharType="begin"/>
    </w:r>
    <w:r w:rsidRPr="00F56579">
      <w:rPr>
        <w:rFonts w:ascii="Arial" w:hAnsi="Arial" w:cs="Arial"/>
        <w:color w:val="44546A" w:themeColor="text2"/>
        <w:szCs w:val="16"/>
      </w:rPr>
      <w:instrText xml:space="preserve"> STYLEREF  Title  \* MERGEFORMAT </w:instrText>
    </w:r>
    <w:r w:rsidRPr="00F56579">
      <w:rPr>
        <w:rFonts w:ascii="Arial" w:hAnsi="Arial" w:cs="Arial"/>
        <w:color w:val="44546A" w:themeColor="text2"/>
        <w:szCs w:val="16"/>
      </w:rPr>
      <w:fldChar w:fldCharType="separate"/>
    </w:r>
    <w:r w:rsidR="00C34CAD">
      <w:rPr>
        <w:rFonts w:ascii="Arial" w:hAnsi="Arial" w:cs="Arial"/>
        <w:noProof/>
        <w:color w:val="44546A" w:themeColor="text2"/>
        <w:szCs w:val="16"/>
      </w:rPr>
      <w:t>Solomon Islands Country Brief</w:t>
    </w:r>
    <w:r w:rsidRPr="00F56579">
      <w:rPr>
        <w:rFonts w:ascii="Arial" w:hAnsi="Arial" w:cs="Arial"/>
        <w:color w:val="44546A" w:themeColor="text2"/>
        <w:szCs w:val="16"/>
      </w:rPr>
      <w:fldChar w:fldCharType="end"/>
    </w:r>
    <w:r w:rsidRPr="00F56579">
      <w:rPr>
        <w:rFonts w:ascii="Arial" w:hAnsi="Arial" w:cs="Arial"/>
        <w:color w:val="44546A" w:themeColor="text2"/>
        <w:szCs w:val="16"/>
      </w:rPr>
      <w:t xml:space="preserve"> | </w:t>
    </w:r>
    <w:r w:rsidRPr="00F56579">
      <w:rPr>
        <w:rFonts w:ascii="Arial" w:hAnsi="Arial" w:cs="Arial"/>
        <w:color w:val="44546A" w:themeColor="text2"/>
        <w:szCs w:val="16"/>
      </w:rPr>
      <w:fldChar w:fldCharType="begin"/>
    </w:r>
    <w:r w:rsidRPr="00F56579">
      <w:rPr>
        <w:rFonts w:ascii="Arial" w:hAnsi="Arial" w:cs="Arial"/>
        <w:color w:val="44546A" w:themeColor="text2"/>
        <w:szCs w:val="16"/>
      </w:rPr>
      <w:instrText xml:space="preserve"> PAGE   \* MERGEFORMAT </w:instrText>
    </w:r>
    <w:r w:rsidRPr="00F56579">
      <w:rPr>
        <w:rFonts w:ascii="Arial" w:hAnsi="Arial" w:cs="Arial"/>
        <w:color w:val="44546A" w:themeColor="text2"/>
        <w:szCs w:val="16"/>
      </w:rPr>
      <w:fldChar w:fldCharType="separate"/>
    </w:r>
    <w:r w:rsidRPr="00F56579">
      <w:rPr>
        <w:rFonts w:ascii="Arial" w:hAnsi="Arial" w:cs="Arial"/>
        <w:color w:val="44546A" w:themeColor="text2"/>
        <w:szCs w:val="16"/>
      </w:rPr>
      <w:t>i</w:t>
    </w:r>
    <w:proofErr w:type="spellStart"/>
    <w:r w:rsidRPr="00F56579">
      <w:rPr>
        <w:rFonts w:ascii="Arial" w:hAnsi="Arial" w:cs="Arial"/>
        <w:color w:val="44546A" w:themeColor="text2"/>
        <w:szCs w:val="16"/>
      </w:rPr>
      <w:t>i</w:t>
    </w:r>
    <w:proofErr w:type="spellEnd"/>
    <w:r w:rsidRPr="00F56579">
      <w:rPr>
        <w:rFonts w:ascii="Arial" w:hAnsi="Arial" w:cs="Arial"/>
        <w:color w:val="44546A" w:themeColor="text2"/>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A7D76" w14:textId="77777777" w:rsidR="00380D9C" w:rsidRPr="00F56579" w:rsidRDefault="00380D9C" w:rsidP="00FF0858">
      <w:pPr>
        <w:spacing w:after="0"/>
      </w:pPr>
      <w:r w:rsidRPr="00F56579">
        <w:separator/>
      </w:r>
    </w:p>
  </w:footnote>
  <w:footnote w:type="continuationSeparator" w:id="0">
    <w:p w14:paraId="1AC8E3FD" w14:textId="77777777" w:rsidR="00380D9C" w:rsidRPr="00F56579" w:rsidRDefault="00380D9C" w:rsidP="00FF0858">
      <w:pPr>
        <w:spacing w:after="0"/>
      </w:pPr>
      <w:r w:rsidRPr="00F56579">
        <w:continuationSeparator/>
      </w:r>
    </w:p>
  </w:footnote>
  <w:footnote w:type="continuationNotice" w:id="1">
    <w:p w14:paraId="379BE36B" w14:textId="77777777" w:rsidR="00380D9C" w:rsidRPr="00F56579" w:rsidRDefault="00380D9C">
      <w:pPr>
        <w:spacing w:after="0"/>
      </w:pPr>
    </w:p>
  </w:footnote>
  <w:footnote w:id="2">
    <w:p w14:paraId="66ED3AA8" w14:textId="7BECD093" w:rsidR="00665525" w:rsidRPr="00F56579" w:rsidRDefault="00665525" w:rsidP="00A972EC">
      <w:pPr>
        <w:pStyle w:val="FootnoteText"/>
        <w:spacing w:before="120" w:after="120"/>
      </w:pPr>
      <w:r w:rsidRPr="00F56579">
        <w:rPr>
          <w:rStyle w:val="FootnoteReference"/>
        </w:rPr>
        <w:footnoteRef/>
      </w:r>
      <w:r w:rsidR="6643C3DA" w:rsidRPr="00F56579">
        <w:t xml:space="preserve"> Note that total funding only reflects the grants managed under these components </w:t>
      </w:r>
      <w:r w:rsidR="6643C3DA">
        <w:t xml:space="preserve">(including SPC) </w:t>
      </w:r>
      <w:r w:rsidR="6643C3DA" w:rsidRPr="00F56579">
        <w:t xml:space="preserve">that are being implemented in </w:t>
      </w:r>
      <w:r w:rsidR="6643C3DA">
        <w:t>Solomon Islands</w:t>
      </w:r>
      <w:r w:rsidR="6643C3DA" w:rsidRPr="00F56579">
        <w:t xml:space="preserve"> and does not reflect the total value of the components.</w:t>
      </w:r>
    </w:p>
  </w:footnote>
  <w:footnote w:id="3">
    <w:p w14:paraId="0443A1DA" w14:textId="027C9165" w:rsidR="002D5761" w:rsidRDefault="002D5761" w:rsidP="002D5761">
      <w:pPr>
        <w:pStyle w:val="FootnoteText"/>
        <w:ind w:left="142" w:hanging="142"/>
      </w:pPr>
      <w:r w:rsidRPr="00F56579">
        <w:rPr>
          <w:rStyle w:val="FootnoteReference"/>
        </w:rPr>
        <w:footnoteRef/>
      </w:r>
      <w:r w:rsidRPr="00F56579">
        <w:t xml:space="preserve"> Each component is a distinct implementing partner of PWL, which means that organisations have a direct grant agreement with donors or funders.</w:t>
      </w:r>
    </w:p>
  </w:footnote>
  <w:footnote w:id="4">
    <w:p w14:paraId="39196D9A" w14:textId="77777777" w:rsidR="008A4DE3" w:rsidRPr="009E6DDD" w:rsidRDefault="008A4DE3" w:rsidP="00772758">
      <w:pPr>
        <w:pStyle w:val="FootnoteText"/>
        <w:rPr>
          <w:lang w:val="en-US"/>
        </w:rPr>
      </w:pPr>
      <w:r>
        <w:rPr>
          <w:rStyle w:val="FootnoteReference"/>
        </w:rPr>
        <w:footnoteRef/>
      </w:r>
      <w:r>
        <w:t xml:space="preserve"> </w:t>
      </w:r>
      <w:r w:rsidRPr="009E6DDD">
        <w:rPr>
          <w:lang w:val="en-US"/>
        </w:rPr>
        <w:t>Total budget inclusive of Solomon Islands DFAT Post contribution of AUD 1,000,000 and Samoa DFAT Post contribution of AUD 2,650,000. Samoa DFAT Post has expended AUD 2,650,000 in Phase 1.</w:t>
      </w:r>
    </w:p>
  </w:footnote>
  <w:footnote w:id="5">
    <w:p w14:paraId="76A8F486" w14:textId="77777777" w:rsidR="009909F4" w:rsidRPr="00D43DDD" w:rsidRDefault="009909F4">
      <w:pPr>
        <w:pStyle w:val="FootnoteText"/>
        <w:rPr>
          <w:lang w:val="en-US"/>
        </w:rPr>
      </w:pPr>
      <w:r>
        <w:rPr>
          <w:rStyle w:val="FootnoteReference"/>
        </w:rPr>
        <w:footnoteRef/>
      </w:r>
      <w:r>
        <w:t xml:space="preserve"> </w:t>
      </w:r>
      <w:r w:rsidRPr="00D43DDD">
        <w:rPr>
          <w:lang w:val="en-US"/>
        </w:rPr>
        <w:t>Total includes DFAT Post (TBC which Post) contribution of AUD 2,000,000.</w:t>
      </w:r>
    </w:p>
  </w:footnote>
  <w:footnote w:id="6">
    <w:p w14:paraId="7768C482" w14:textId="77777777" w:rsidR="009909F4" w:rsidRPr="00D976B4" w:rsidRDefault="009909F4" w:rsidP="00E771BC">
      <w:pPr>
        <w:pStyle w:val="FootnoteText"/>
        <w:rPr>
          <w:lang w:val="en-US"/>
        </w:rPr>
      </w:pPr>
      <w:r>
        <w:rPr>
          <w:rStyle w:val="FootnoteReference"/>
        </w:rPr>
        <w:footnoteRef/>
      </w:r>
      <w:r>
        <w:t xml:space="preserve"> </w:t>
      </w:r>
      <w:r w:rsidRPr="00D976B4">
        <w:rPr>
          <w:lang w:val="en-US"/>
        </w:rPr>
        <w:t>Next phase to be funded under Pacific Women Lead at SPC. Details to be confirmed.</w:t>
      </w:r>
    </w:p>
  </w:footnote>
  <w:footnote w:id="7">
    <w:p w14:paraId="1C90473A" w14:textId="14C3CAA6" w:rsidR="0077040E" w:rsidRPr="0077040E" w:rsidRDefault="0077040E">
      <w:pPr>
        <w:pStyle w:val="FootnoteText"/>
        <w:rPr>
          <w:lang w:val="en-US"/>
        </w:rPr>
      </w:pPr>
      <w:r>
        <w:rPr>
          <w:rStyle w:val="FootnoteReference"/>
        </w:rPr>
        <w:footnoteRef/>
      </w:r>
      <w:r>
        <w:t xml:space="preserve"> </w:t>
      </w:r>
      <w:r>
        <w:rPr>
          <w:lang w:val="en-US"/>
        </w:rPr>
        <w:t xml:space="preserve">This </w:t>
      </w:r>
      <w:r w:rsidR="00956DCB">
        <w:rPr>
          <w:lang w:val="en-US"/>
        </w:rPr>
        <w:t xml:space="preserve">project </w:t>
      </w:r>
      <w:r>
        <w:rPr>
          <w:lang w:val="en-US"/>
        </w:rPr>
        <w:t>will be updated to reflect a new phase once update is received from Solomon Islands DFAT Post.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5141" w14:textId="4DBF9E04" w:rsidR="009A6D92" w:rsidRPr="00F56579" w:rsidRDefault="009A6D92" w:rsidP="00D523EE">
    <w:pPr>
      <w:pStyle w:val="BodyText"/>
      <w:spacing w:after="0"/>
    </w:pPr>
    <w:r w:rsidRPr="00F56579">
      <w:rPr>
        <w:i/>
        <w:sz w:val="16"/>
        <w:szCs w:val="16"/>
      </w:rPr>
      <w:t xml:space="preserve">Pacific Women </w:t>
    </w:r>
    <w:r w:rsidRPr="00F56579">
      <w:rPr>
        <w:sz w:val="16"/>
        <w:szCs w:val="16"/>
      </w:rPr>
      <w:t>PNG Country Plan (2015–2020)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D67C" w14:textId="34427A35" w:rsidR="009A6D92" w:rsidRPr="00F56579" w:rsidRDefault="009A6D92" w:rsidP="00D523EE">
    <w:pPr>
      <w:pStyle w:val="Header"/>
      <w:jc w:val="right"/>
      <w:rPr>
        <w:color w:val="404040" w:themeColor="text1" w:themeTint="BF"/>
        <w:sz w:val="16"/>
        <w:szCs w:val="16"/>
      </w:rPr>
    </w:pPr>
    <w:r w:rsidRPr="00F56579">
      <w:rPr>
        <w:i/>
        <w:color w:val="404040" w:themeColor="text1" w:themeTint="BF"/>
        <w:sz w:val="16"/>
        <w:szCs w:val="16"/>
      </w:rPr>
      <w:t>Pacific Women</w:t>
    </w:r>
    <w:r w:rsidRPr="00F56579">
      <w:rPr>
        <w:color w:val="404040" w:themeColor="text1" w:themeTint="BF"/>
        <w:sz w:val="16"/>
        <w:szCs w:val="16"/>
      </w:rPr>
      <w:t xml:space="preserve"> Papua New Guinea Country Plan (2014–2018)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1CA2" w14:textId="77777777" w:rsidR="0039726C" w:rsidRPr="00F56579" w:rsidRDefault="0039726C" w:rsidP="00820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28E71A"/>
    <w:lvl w:ilvl="0">
      <w:start w:val="1"/>
      <w:numFmt w:val="bullet"/>
      <w:pStyle w:val="ListBullet"/>
      <w:lvlText w:val=""/>
      <w:lvlJc w:val="left"/>
      <w:pPr>
        <w:ind w:left="360" w:hanging="360"/>
      </w:pPr>
      <w:rPr>
        <w:rFonts w:ascii="Wingdings" w:hAnsi="Wingdings" w:hint="default"/>
        <w:color w:val="009F93"/>
      </w:rPr>
    </w:lvl>
  </w:abstractNum>
  <w:abstractNum w:abstractNumId="1" w15:restartNumberingAfterBreak="0">
    <w:nsid w:val="0073685D"/>
    <w:multiLevelType w:val="hybridMultilevel"/>
    <w:tmpl w:val="11A2D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274F2F"/>
    <w:multiLevelType w:val="hybridMultilevel"/>
    <w:tmpl w:val="DE5622A0"/>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2D2440E"/>
    <w:multiLevelType w:val="hybridMultilevel"/>
    <w:tmpl w:val="6464B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461844"/>
    <w:multiLevelType w:val="multilevel"/>
    <w:tmpl w:val="41CA4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D504C7"/>
    <w:multiLevelType w:val="multilevel"/>
    <w:tmpl w:val="07187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C77DBD"/>
    <w:multiLevelType w:val="multilevel"/>
    <w:tmpl w:val="3A24E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A116F6"/>
    <w:multiLevelType w:val="hybridMultilevel"/>
    <w:tmpl w:val="39B664F2"/>
    <w:lvl w:ilvl="0" w:tplc="286411DE">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57151071"/>
    <w:multiLevelType w:val="hybridMultilevel"/>
    <w:tmpl w:val="09E4C5E0"/>
    <w:lvl w:ilvl="0" w:tplc="2000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1E53DB"/>
    <w:multiLevelType w:val="multilevel"/>
    <w:tmpl w:val="AF34EB6E"/>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993" w:hanging="851"/>
      </w:pPr>
      <w:rPr>
        <w:rFonts w:hint="default"/>
      </w:rPr>
    </w:lvl>
    <w:lvl w:ilvl="2">
      <w:start w:val="1"/>
      <w:numFmt w:val="decimal"/>
      <w:pStyle w:val="Heading3"/>
      <w:lvlText w:val="%1.%2.%3"/>
      <w:lvlJc w:val="left"/>
      <w:pPr>
        <w:ind w:left="851" w:hanging="851"/>
      </w:pPr>
      <w:rPr>
        <w:rFonts w:hint="default"/>
      </w:rPr>
    </w:lvl>
    <w:lvl w:ilvl="3">
      <w:start w:val="1"/>
      <w:numFmt w:val="none"/>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10" w15:restartNumberingAfterBreak="0">
    <w:nsid w:val="5FDE1308"/>
    <w:multiLevelType w:val="multilevel"/>
    <w:tmpl w:val="C15EAE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5408B4"/>
    <w:multiLevelType w:val="hybridMultilevel"/>
    <w:tmpl w:val="14FC47F4"/>
    <w:lvl w:ilvl="0" w:tplc="AC860C80">
      <w:start w:val="1"/>
      <w:numFmt w:val="decimal"/>
      <w:pStyle w:val="ListNumber2"/>
      <w:lvlText w:val="%1."/>
      <w:lvlJc w:val="left"/>
      <w:pPr>
        <w:ind w:left="360" w:hanging="360"/>
      </w:pPr>
    </w:lvl>
    <w:lvl w:ilvl="1" w:tplc="D32AA91A">
      <w:start w:val="1"/>
      <w:numFmt w:val="lowerLetter"/>
      <w:lvlText w:val="%2."/>
      <w:lvlJc w:val="left"/>
      <w:pPr>
        <w:ind w:left="1080" w:hanging="360"/>
      </w:pPr>
      <w:rPr>
        <w:b w:val="0"/>
        <w:i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45D5F26"/>
    <w:multiLevelType w:val="hybridMultilevel"/>
    <w:tmpl w:val="2EC2190A"/>
    <w:lvl w:ilvl="0" w:tplc="F28C7C78">
      <w:start w:val="1"/>
      <w:numFmt w:val="decimal"/>
      <w:pStyle w:val="AnnexHeading"/>
      <w:lvlText w:val="Annex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A026F3B"/>
    <w:multiLevelType w:val="hybridMultilevel"/>
    <w:tmpl w:val="BB683724"/>
    <w:lvl w:ilvl="0" w:tplc="C9488C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4192263">
    <w:abstractNumId w:val="0"/>
  </w:num>
  <w:num w:numId="2" w16cid:durableId="1877737928">
    <w:abstractNumId w:val="13"/>
  </w:num>
  <w:num w:numId="3" w16cid:durableId="54788629">
    <w:abstractNumId w:val="11"/>
  </w:num>
  <w:num w:numId="4" w16cid:durableId="555773917">
    <w:abstractNumId w:val="9"/>
  </w:num>
  <w:num w:numId="5" w16cid:durableId="837185622">
    <w:abstractNumId w:val="12"/>
  </w:num>
  <w:num w:numId="6" w16cid:durableId="1003896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45261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507556">
    <w:abstractNumId w:val="8"/>
  </w:num>
  <w:num w:numId="9" w16cid:durableId="717513419">
    <w:abstractNumId w:val="3"/>
  </w:num>
  <w:num w:numId="10" w16cid:durableId="2018969255">
    <w:abstractNumId w:val="2"/>
  </w:num>
  <w:num w:numId="11" w16cid:durableId="363792296">
    <w:abstractNumId w:val="9"/>
  </w:num>
  <w:num w:numId="12" w16cid:durableId="1228569990">
    <w:abstractNumId w:val="9"/>
  </w:num>
  <w:num w:numId="13" w16cid:durableId="1394693598">
    <w:abstractNumId w:val="9"/>
  </w:num>
  <w:num w:numId="14" w16cid:durableId="1489983224">
    <w:abstractNumId w:val="9"/>
  </w:num>
  <w:num w:numId="15" w16cid:durableId="2099061077">
    <w:abstractNumId w:val="9"/>
  </w:num>
  <w:num w:numId="16" w16cid:durableId="636223899">
    <w:abstractNumId w:val="9"/>
  </w:num>
  <w:num w:numId="17" w16cid:durableId="35206570">
    <w:abstractNumId w:val="9"/>
  </w:num>
  <w:num w:numId="18" w16cid:durableId="1671906718">
    <w:abstractNumId w:val="8"/>
  </w:num>
  <w:num w:numId="19" w16cid:durableId="80569975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8560118">
    <w:abstractNumId w:val="9"/>
  </w:num>
  <w:num w:numId="21" w16cid:durableId="1531063650">
    <w:abstractNumId w:val="9"/>
  </w:num>
  <w:num w:numId="22" w16cid:durableId="880483194">
    <w:abstractNumId w:val="9"/>
  </w:num>
  <w:num w:numId="23" w16cid:durableId="1951740222">
    <w:abstractNumId w:val="9"/>
  </w:num>
  <w:num w:numId="24" w16cid:durableId="2084254839">
    <w:abstractNumId w:val="9"/>
  </w:num>
  <w:num w:numId="25" w16cid:durableId="150216569">
    <w:abstractNumId w:val="4"/>
  </w:num>
  <w:num w:numId="26" w16cid:durableId="1748304236">
    <w:abstractNumId w:val="5"/>
  </w:num>
  <w:num w:numId="27" w16cid:durableId="412361412">
    <w:abstractNumId w:val="10"/>
  </w:num>
  <w:num w:numId="28" w16cid:durableId="1600332617">
    <w:abstractNumId w:val="6"/>
  </w:num>
  <w:num w:numId="29" w16cid:durableId="163456072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597"/>
    <w:rsid w:val="00000793"/>
    <w:rsid w:val="000008EC"/>
    <w:rsid w:val="00000FFD"/>
    <w:rsid w:val="00002EC0"/>
    <w:rsid w:val="000039C3"/>
    <w:rsid w:val="00004822"/>
    <w:rsid w:val="00010E10"/>
    <w:rsid w:val="00011422"/>
    <w:rsid w:val="00011521"/>
    <w:rsid w:val="00011D21"/>
    <w:rsid w:val="00011E55"/>
    <w:rsid w:val="000127C0"/>
    <w:rsid w:val="000136AB"/>
    <w:rsid w:val="00014046"/>
    <w:rsid w:val="00014D43"/>
    <w:rsid w:val="000150A5"/>
    <w:rsid w:val="00015EDA"/>
    <w:rsid w:val="000165FA"/>
    <w:rsid w:val="00021284"/>
    <w:rsid w:val="00021EB0"/>
    <w:rsid w:val="00022191"/>
    <w:rsid w:val="00022319"/>
    <w:rsid w:val="00023396"/>
    <w:rsid w:val="00024163"/>
    <w:rsid w:val="00025C71"/>
    <w:rsid w:val="000266FF"/>
    <w:rsid w:val="00027194"/>
    <w:rsid w:val="00027226"/>
    <w:rsid w:val="0003042B"/>
    <w:rsid w:val="00030A3F"/>
    <w:rsid w:val="00030DC4"/>
    <w:rsid w:val="000376A9"/>
    <w:rsid w:val="00037B5B"/>
    <w:rsid w:val="000426CF"/>
    <w:rsid w:val="00044721"/>
    <w:rsid w:val="00044E35"/>
    <w:rsid w:val="00044F7C"/>
    <w:rsid w:val="00045EEE"/>
    <w:rsid w:val="00046783"/>
    <w:rsid w:val="00046B8D"/>
    <w:rsid w:val="00047193"/>
    <w:rsid w:val="00047A1E"/>
    <w:rsid w:val="00047D96"/>
    <w:rsid w:val="00050AD9"/>
    <w:rsid w:val="00052963"/>
    <w:rsid w:val="00053E51"/>
    <w:rsid w:val="00054DB8"/>
    <w:rsid w:val="000557E4"/>
    <w:rsid w:val="000558C5"/>
    <w:rsid w:val="00055AB5"/>
    <w:rsid w:val="000606DF"/>
    <w:rsid w:val="00061B03"/>
    <w:rsid w:val="00062342"/>
    <w:rsid w:val="0006288A"/>
    <w:rsid w:val="00062A79"/>
    <w:rsid w:val="000630A9"/>
    <w:rsid w:val="000631C2"/>
    <w:rsid w:val="00063AAF"/>
    <w:rsid w:val="00063DA6"/>
    <w:rsid w:val="000645FA"/>
    <w:rsid w:val="00065BF0"/>
    <w:rsid w:val="00065D75"/>
    <w:rsid w:val="00066C3B"/>
    <w:rsid w:val="00067A23"/>
    <w:rsid w:val="00067F3A"/>
    <w:rsid w:val="0007097C"/>
    <w:rsid w:val="000709C0"/>
    <w:rsid w:val="00076399"/>
    <w:rsid w:val="00076517"/>
    <w:rsid w:val="00076AE8"/>
    <w:rsid w:val="00076C22"/>
    <w:rsid w:val="0008203D"/>
    <w:rsid w:val="000823C7"/>
    <w:rsid w:val="00083EC0"/>
    <w:rsid w:val="00085363"/>
    <w:rsid w:val="0008541E"/>
    <w:rsid w:val="00086611"/>
    <w:rsid w:val="00086B39"/>
    <w:rsid w:val="00086D3A"/>
    <w:rsid w:val="00090D15"/>
    <w:rsid w:val="00090D1F"/>
    <w:rsid w:val="000910C5"/>
    <w:rsid w:val="00091A3D"/>
    <w:rsid w:val="00091F91"/>
    <w:rsid w:val="000929A4"/>
    <w:rsid w:val="00093917"/>
    <w:rsid w:val="00093A53"/>
    <w:rsid w:val="00093C26"/>
    <w:rsid w:val="00093D22"/>
    <w:rsid w:val="00096FB2"/>
    <w:rsid w:val="000A1F8E"/>
    <w:rsid w:val="000A308E"/>
    <w:rsid w:val="000A393C"/>
    <w:rsid w:val="000A3C58"/>
    <w:rsid w:val="000A5A20"/>
    <w:rsid w:val="000A6EC5"/>
    <w:rsid w:val="000A717C"/>
    <w:rsid w:val="000A75D2"/>
    <w:rsid w:val="000A7997"/>
    <w:rsid w:val="000A7CE4"/>
    <w:rsid w:val="000B1874"/>
    <w:rsid w:val="000B3471"/>
    <w:rsid w:val="000B3BEB"/>
    <w:rsid w:val="000B5DC7"/>
    <w:rsid w:val="000C0CCF"/>
    <w:rsid w:val="000C2817"/>
    <w:rsid w:val="000C4234"/>
    <w:rsid w:val="000C4FCA"/>
    <w:rsid w:val="000C50A1"/>
    <w:rsid w:val="000C514B"/>
    <w:rsid w:val="000C618D"/>
    <w:rsid w:val="000C6216"/>
    <w:rsid w:val="000C73D7"/>
    <w:rsid w:val="000C7ADE"/>
    <w:rsid w:val="000C7B19"/>
    <w:rsid w:val="000D13F1"/>
    <w:rsid w:val="000D18EB"/>
    <w:rsid w:val="000D1B0C"/>
    <w:rsid w:val="000D54B7"/>
    <w:rsid w:val="000D657E"/>
    <w:rsid w:val="000D79F7"/>
    <w:rsid w:val="000E136B"/>
    <w:rsid w:val="000E6235"/>
    <w:rsid w:val="000E6B7B"/>
    <w:rsid w:val="000E6ECE"/>
    <w:rsid w:val="000E700F"/>
    <w:rsid w:val="000F298D"/>
    <w:rsid w:val="000F37F3"/>
    <w:rsid w:val="000F42CF"/>
    <w:rsid w:val="000F4E0A"/>
    <w:rsid w:val="000F569C"/>
    <w:rsid w:val="000F6FB4"/>
    <w:rsid w:val="001001CA"/>
    <w:rsid w:val="0010181E"/>
    <w:rsid w:val="00101A3B"/>
    <w:rsid w:val="00101D5C"/>
    <w:rsid w:val="00101D8B"/>
    <w:rsid w:val="00103B6A"/>
    <w:rsid w:val="0010517D"/>
    <w:rsid w:val="0010538F"/>
    <w:rsid w:val="001060C4"/>
    <w:rsid w:val="001060E0"/>
    <w:rsid w:val="00106621"/>
    <w:rsid w:val="0010777F"/>
    <w:rsid w:val="00111417"/>
    <w:rsid w:val="00111BB1"/>
    <w:rsid w:val="001120CA"/>
    <w:rsid w:val="00112BAE"/>
    <w:rsid w:val="00112BB1"/>
    <w:rsid w:val="001141E2"/>
    <w:rsid w:val="00114B29"/>
    <w:rsid w:val="00116C36"/>
    <w:rsid w:val="0011741D"/>
    <w:rsid w:val="00117ED0"/>
    <w:rsid w:val="00124FDB"/>
    <w:rsid w:val="00126105"/>
    <w:rsid w:val="001266BC"/>
    <w:rsid w:val="00126B55"/>
    <w:rsid w:val="00131D32"/>
    <w:rsid w:val="00133150"/>
    <w:rsid w:val="001340ED"/>
    <w:rsid w:val="001349E5"/>
    <w:rsid w:val="00134E13"/>
    <w:rsid w:val="00136413"/>
    <w:rsid w:val="00136744"/>
    <w:rsid w:val="001374F3"/>
    <w:rsid w:val="001421ED"/>
    <w:rsid w:val="00142202"/>
    <w:rsid w:val="00143F79"/>
    <w:rsid w:val="0014719B"/>
    <w:rsid w:val="00147559"/>
    <w:rsid w:val="00151DE3"/>
    <w:rsid w:val="001527E4"/>
    <w:rsid w:val="00153CC2"/>
    <w:rsid w:val="00154CD7"/>
    <w:rsid w:val="00154F22"/>
    <w:rsid w:val="00156618"/>
    <w:rsid w:val="00156652"/>
    <w:rsid w:val="001573FB"/>
    <w:rsid w:val="00157AD2"/>
    <w:rsid w:val="00157CFB"/>
    <w:rsid w:val="001612CA"/>
    <w:rsid w:val="001612EA"/>
    <w:rsid w:val="00167056"/>
    <w:rsid w:val="00170B2E"/>
    <w:rsid w:val="0017183A"/>
    <w:rsid w:val="001719BF"/>
    <w:rsid w:val="00173530"/>
    <w:rsid w:val="00175C53"/>
    <w:rsid w:val="00176EA4"/>
    <w:rsid w:val="001774EA"/>
    <w:rsid w:val="0017752D"/>
    <w:rsid w:val="001775A0"/>
    <w:rsid w:val="001807D1"/>
    <w:rsid w:val="00181174"/>
    <w:rsid w:val="0018280B"/>
    <w:rsid w:val="00182B73"/>
    <w:rsid w:val="00182FD2"/>
    <w:rsid w:val="0018387A"/>
    <w:rsid w:val="00184DF6"/>
    <w:rsid w:val="00185699"/>
    <w:rsid w:val="00186548"/>
    <w:rsid w:val="00191646"/>
    <w:rsid w:val="001935C8"/>
    <w:rsid w:val="0019441D"/>
    <w:rsid w:val="00194647"/>
    <w:rsid w:val="00194857"/>
    <w:rsid w:val="001A1028"/>
    <w:rsid w:val="001A25AA"/>
    <w:rsid w:val="001B023C"/>
    <w:rsid w:val="001B295A"/>
    <w:rsid w:val="001B384C"/>
    <w:rsid w:val="001B526A"/>
    <w:rsid w:val="001B5787"/>
    <w:rsid w:val="001B5EAF"/>
    <w:rsid w:val="001B6004"/>
    <w:rsid w:val="001B64DD"/>
    <w:rsid w:val="001B6E7A"/>
    <w:rsid w:val="001B7249"/>
    <w:rsid w:val="001B7FDF"/>
    <w:rsid w:val="001C0768"/>
    <w:rsid w:val="001C19D5"/>
    <w:rsid w:val="001C2B26"/>
    <w:rsid w:val="001C3304"/>
    <w:rsid w:val="001C349A"/>
    <w:rsid w:val="001C4A6B"/>
    <w:rsid w:val="001C560D"/>
    <w:rsid w:val="001C600B"/>
    <w:rsid w:val="001C686E"/>
    <w:rsid w:val="001D3588"/>
    <w:rsid w:val="001D48B5"/>
    <w:rsid w:val="001D5D8D"/>
    <w:rsid w:val="001D5E28"/>
    <w:rsid w:val="001D620D"/>
    <w:rsid w:val="001D6560"/>
    <w:rsid w:val="001E0013"/>
    <w:rsid w:val="001E3601"/>
    <w:rsid w:val="001E44B8"/>
    <w:rsid w:val="001E4519"/>
    <w:rsid w:val="001E4528"/>
    <w:rsid w:val="001E51BB"/>
    <w:rsid w:val="001E6ADC"/>
    <w:rsid w:val="001F0116"/>
    <w:rsid w:val="001F22B4"/>
    <w:rsid w:val="001F2635"/>
    <w:rsid w:val="001F45FD"/>
    <w:rsid w:val="001F6987"/>
    <w:rsid w:val="002019AF"/>
    <w:rsid w:val="00202396"/>
    <w:rsid w:val="00202FDA"/>
    <w:rsid w:val="00204033"/>
    <w:rsid w:val="002050CD"/>
    <w:rsid w:val="00206400"/>
    <w:rsid w:val="00206B65"/>
    <w:rsid w:val="00206D1E"/>
    <w:rsid w:val="00210B89"/>
    <w:rsid w:val="0021443A"/>
    <w:rsid w:val="0021713D"/>
    <w:rsid w:val="0022248A"/>
    <w:rsid w:val="00222BB7"/>
    <w:rsid w:val="00223274"/>
    <w:rsid w:val="002235DB"/>
    <w:rsid w:val="00223E67"/>
    <w:rsid w:val="00225F22"/>
    <w:rsid w:val="002264C6"/>
    <w:rsid w:val="00233CB6"/>
    <w:rsid w:val="00233DFD"/>
    <w:rsid w:val="00233E9D"/>
    <w:rsid w:val="00234A13"/>
    <w:rsid w:val="00235F6C"/>
    <w:rsid w:val="00236C83"/>
    <w:rsid w:val="00240278"/>
    <w:rsid w:val="002405C0"/>
    <w:rsid w:val="00241209"/>
    <w:rsid w:val="0024139D"/>
    <w:rsid w:val="00242AA8"/>
    <w:rsid w:val="00243633"/>
    <w:rsid w:val="00245A0A"/>
    <w:rsid w:val="00245A21"/>
    <w:rsid w:val="002464B4"/>
    <w:rsid w:val="002468C6"/>
    <w:rsid w:val="002468F4"/>
    <w:rsid w:val="0024745C"/>
    <w:rsid w:val="00250525"/>
    <w:rsid w:val="00250C86"/>
    <w:rsid w:val="0025169F"/>
    <w:rsid w:val="00251DBB"/>
    <w:rsid w:val="00252169"/>
    <w:rsid w:val="00253E29"/>
    <w:rsid w:val="00254FBD"/>
    <w:rsid w:val="00255D12"/>
    <w:rsid w:val="00256946"/>
    <w:rsid w:val="002607B7"/>
    <w:rsid w:val="002612FC"/>
    <w:rsid w:val="00262275"/>
    <w:rsid w:val="00262723"/>
    <w:rsid w:val="00263452"/>
    <w:rsid w:val="00263526"/>
    <w:rsid w:val="002650F2"/>
    <w:rsid w:val="00265B7A"/>
    <w:rsid w:val="00266FB5"/>
    <w:rsid w:val="00267183"/>
    <w:rsid w:val="0027044F"/>
    <w:rsid w:val="002718C0"/>
    <w:rsid w:val="0027589F"/>
    <w:rsid w:val="00275F3B"/>
    <w:rsid w:val="002767CA"/>
    <w:rsid w:val="0028036B"/>
    <w:rsid w:val="00281E87"/>
    <w:rsid w:val="0028226E"/>
    <w:rsid w:val="00282968"/>
    <w:rsid w:val="00282B83"/>
    <w:rsid w:val="00285946"/>
    <w:rsid w:val="00285BA2"/>
    <w:rsid w:val="00286970"/>
    <w:rsid w:val="00287B47"/>
    <w:rsid w:val="00290973"/>
    <w:rsid w:val="00292CEF"/>
    <w:rsid w:val="00294436"/>
    <w:rsid w:val="002944C6"/>
    <w:rsid w:val="002961C6"/>
    <w:rsid w:val="00296BF1"/>
    <w:rsid w:val="00296E1B"/>
    <w:rsid w:val="0029740B"/>
    <w:rsid w:val="002A0149"/>
    <w:rsid w:val="002A03BD"/>
    <w:rsid w:val="002A0D38"/>
    <w:rsid w:val="002A0DF0"/>
    <w:rsid w:val="002A1621"/>
    <w:rsid w:val="002A20A5"/>
    <w:rsid w:val="002A20FA"/>
    <w:rsid w:val="002A2E48"/>
    <w:rsid w:val="002A3888"/>
    <w:rsid w:val="002A467E"/>
    <w:rsid w:val="002A6A3C"/>
    <w:rsid w:val="002A6DAE"/>
    <w:rsid w:val="002B1BEE"/>
    <w:rsid w:val="002B5BD8"/>
    <w:rsid w:val="002B5E77"/>
    <w:rsid w:val="002B6818"/>
    <w:rsid w:val="002B6853"/>
    <w:rsid w:val="002B6971"/>
    <w:rsid w:val="002C0B2A"/>
    <w:rsid w:val="002C1E3B"/>
    <w:rsid w:val="002C2356"/>
    <w:rsid w:val="002C2F36"/>
    <w:rsid w:val="002C5B18"/>
    <w:rsid w:val="002D093F"/>
    <w:rsid w:val="002D0E8E"/>
    <w:rsid w:val="002D11BE"/>
    <w:rsid w:val="002D2A5C"/>
    <w:rsid w:val="002D47F1"/>
    <w:rsid w:val="002D4F07"/>
    <w:rsid w:val="002D5761"/>
    <w:rsid w:val="002D682A"/>
    <w:rsid w:val="002E2203"/>
    <w:rsid w:val="002E2F94"/>
    <w:rsid w:val="002E3B77"/>
    <w:rsid w:val="002E4742"/>
    <w:rsid w:val="002E62C8"/>
    <w:rsid w:val="002F01BA"/>
    <w:rsid w:val="002F0C03"/>
    <w:rsid w:val="002F1944"/>
    <w:rsid w:val="002F1D43"/>
    <w:rsid w:val="002F20F3"/>
    <w:rsid w:val="002F26F3"/>
    <w:rsid w:val="002F493D"/>
    <w:rsid w:val="002F5ECB"/>
    <w:rsid w:val="002F6104"/>
    <w:rsid w:val="002F69A0"/>
    <w:rsid w:val="002F6D59"/>
    <w:rsid w:val="002F706F"/>
    <w:rsid w:val="0030040B"/>
    <w:rsid w:val="0030041E"/>
    <w:rsid w:val="00301D55"/>
    <w:rsid w:val="00302743"/>
    <w:rsid w:val="00303373"/>
    <w:rsid w:val="003033D7"/>
    <w:rsid w:val="00304E2C"/>
    <w:rsid w:val="00305724"/>
    <w:rsid w:val="00311517"/>
    <w:rsid w:val="003136AB"/>
    <w:rsid w:val="003145A9"/>
    <w:rsid w:val="00315ACE"/>
    <w:rsid w:val="00315FE3"/>
    <w:rsid w:val="003168DE"/>
    <w:rsid w:val="00316A1A"/>
    <w:rsid w:val="00316F1D"/>
    <w:rsid w:val="00317DD3"/>
    <w:rsid w:val="0032014A"/>
    <w:rsid w:val="0032104A"/>
    <w:rsid w:val="003240E2"/>
    <w:rsid w:val="00325E7E"/>
    <w:rsid w:val="00326A92"/>
    <w:rsid w:val="00330889"/>
    <w:rsid w:val="0033158D"/>
    <w:rsid w:val="003321AB"/>
    <w:rsid w:val="00332E8F"/>
    <w:rsid w:val="003349F0"/>
    <w:rsid w:val="00336982"/>
    <w:rsid w:val="00337574"/>
    <w:rsid w:val="003411EF"/>
    <w:rsid w:val="00341BC7"/>
    <w:rsid w:val="0034278F"/>
    <w:rsid w:val="00342922"/>
    <w:rsid w:val="00343B1A"/>
    <w:rsid w:val="00344851"/>
    <w:rsid w:val="003456C4"/>
    <w:rsid w:val="0034597A"/>
    <w:rsid w:val="00346E0E"/>
    <w:rsid w:val="0034719B"/>
    <w:rsid w:val="00347E3A"/>
    <w:rsid w:val="00351125"/>
    <w:rsid w:val="003522A2"/>
    <w:rsid w:val="00352BC4"/>
    <w:rsid w:val="00353083"/>
    <w:rsid w:val="0035358F"/>
    <w:rsid w:val="003535BE"/>
    <w:rsid w:val="003537EB"/>
    <w:rsid w:val="00357A79"/>
    <w:rsid w:val="00365030"/>
    <w:rsid w:val="003650E8"/>
    <w:rsid w:val="00365785"/>
    <w:rsid w:val="0037101D"/>
    <w:rsid w:val="003716C1"/>
    <w:rsid w:val="00371B7C"/>
    <w:rsid w:val="00374F95"/>
    <w:rsid w:val="00375E11"/>
    <w:rsid w:val="003761B0"/>
    <w:rsid w:val="00376E76"/>
    <w:rsid w:val="00377054"/>
    <w:rsid w:val="00377125"/>
    <w:rsid w:val="0038075B"/>
    <w:rsid w:val="003808E6"/>
    <w:rsid w:val="00380D9C"/>
    <w:rsid w:val="003822AB"/>
    <w:rsid w:val="003836FE"/>
    <w:rsid w:val="003854A9"/>
    <w:rsid w:val="00385EFC"/>
    <w:rsid w:val="003876A3"/>
    <w:rsid w:val="00390359"/>
    <w:rsid w:val="00390885"/>
    <w:rsid w:val="00392632"/>
    <w:rsid w:val="00392C2D"/>
    <w:rsid w:val="00393E86"/>
    <w:rsid w:val="0039726C"/>
    <w:rsid w:val="003A2417"/>
    <w:rsid w:val="003A2FF8"/>
    <w:rsid w:val="003A30BD"/>
    <w:rsid w:val="003A35E3"/>
    <w:rsid w:val="003A45A6"/>
    <w:rsid w:val="003A511A"/>
    <w:rsid w:val="003A5924"/>
    <w:rsid w:val="003A6086"/>
    <w:rsid w:val="003A64A7"/>
    <w:rsid w:val="003A6E90"/>
    <w:rsid w:val="003A7744"/>
    <w:rsid w:val="003A78DE"/>
    <w:rsid w:val="003B0FFC"/>
    <w:rsid w:val="003B2215"/>
    <w:rsid w:val="003B2E91"/>
    <w:rsid w:val="003B3BAA"/>
    <w:rsid w:val="003B40EA"/>
    <w:rsid w:val="003B4EE2"/>
    <w:rsid w:val="003B5BC4"/>
    <w:rsid w:val="003B5E37"/>
    <w:rsid w:val="003B66E6"/>
    <w:rsid w:val="003C0A56"/>
    <w:rsid w:val="003C11F9"/>
    <w:rsid w:val="003C4AAE"/>
    <w:rsid w:val="003C5EC3"/>
    <w:rsid w:val="003C618C"/>
    <w:rsid w:val="003C790C"/>
    <w:rsid w:val="003D01F9"/>
    <w:rsid w:val="003D12B6"/>
    <w:rsid w:val="003D21E1"/>
    <w:rsid w:val="003D256B"/>
    <w:rsid w:val="003D33E1"/>
    <w:rsid w:val="003D633F"/>
    <w:rsid w:val="003D6597"/>
    <w:rsid w:val="003E1F96"/>
    <w:rsid w:val="003E35C4"/>
    <w:rsid w:val="003E4025"/>
    <w:rsid w:val="003E55A9"/>
    <w:rsid w:val="003E56AA"/>
    <w:rsid w:val="003E5CC9"/>
    <w:rsid w:val="003E5E36"/>
    <w:rsid w:val="003E7923"/>
    <w:rsid w:val="003F3873"/>
    <w:rsid w:val="003F3E96"/>
    <w:rsid w:val="003F521F"/>
    <w:rsid w:val="003F5982"/>
    <w:rsid w:val="003F6E9D"/>
    <w:rsid w:val="003F7464"/>
    <w:rsid w:val="003F78DF"/>
    <w:rsid w:val="00400B44"/>
    <w:rsid w:val="00400CB8"/>
    <w:rsid w:val="00400D58"/>
    <w:rsid w:val="0040110D"/>
    <w:rsid w:val="00401AC6"/>
    <w:rsid w:val="004021BF"/>
    <w:rsid w:val="00402C94"/>
    <w:rsid w:val="00403769"/>
    <w:rsid w:val="00403B78"/>
    <w:rsid w:val="00404438"/>
    <w:rsid w:val="00405BC0"/>
    <w:rsid w:val="0040694F"/>
    <w:rsid w:val="00407758"/>
    <w:rsid w:val="00411E09"/>
    <w:rsid w:val="00412636"/>
    <w:rsid w:val="00412AE0"/>
    <w:rsid w:val="00413CA1"/>
    <w:rsid w:val="00415C0B"/>
    <w:rsid w:val="00416339"/>
    <w:rsid w:val="0041637B"/>
    <w:rsid w:val="004208F1"/>
    <w:rsid w:val="00423C57"/>
    <w:rsid w:val="004242A2"/>
    <w:rsid w:val="00424A62"/>
    <w:rsid w:val="00425618"/>
    <w:rsid w:val="004262C1"/>
    <w:rsid w:val="00426CAD"/>
    <w:rsid w:val="00426F7A"/>
    <w:rsid w:val="00427582"/>
    <w:rsid w:val="0043173C"/>
    <w:rsid w:val="00431A6A"/>
    <w:rsid w:val="00431E20"/>
    <w:rsid w:val="00432107"/>
    <w:rsid w:val="00432B1C"/>
    <w:rsid w:val="00432E70"/>
    <w:rsid w:val="00433BE4"/>
    <w:rsid w:val="00434560"/>
    <w:rsid w:val="00436870"/>
    <w:rsid w:val="00436FD7"/>
    <w:rsid w:val="004370A8"/>
    <w:rsid w:val="00440CCC"/>
    <w:rsid w:val="00440EAD"/>
    <w:rsid w:val="00441855"/>
    <w:rsid w:val="00442CD1"/>
    <w:rsid w:val="0044302A"/>
    <w:rsid w:val="004432B5"/>
    <w:rsid w:val="0044359B"/>
    <w:rsid w:val="00443CD8"/>
    <w:rsid w:val="004451B3"/>
    <w:rsid w:val="004459F3"/>
    <w:rsid w:val="00445A06"/>
    <w:rsid w:val="00447758"/>
    <w:rsid w:val="00452100"/>
    <w:rsid w:val="00453DB2"/>
    <w:rsid w:val="0045638F"/>
    <w:rsid w:val="00460006"/>
    <w:rsid w:val="004613B7"/>
    <w:rsid w:val="00462CBB"/>
    <w:rsid w:val="00463AF9"/>
    <w:rsid w:val="00463BBE"/>
    <w:rsid w:val="00465053"/>
    <w:rsid w:val="004668AA"/>
    <w:rsid w:val="00467458"/>
    <w:rsid w:val="004676B4"/>
    <w:rsid w:val="004679C9"/>
    <w:rsid w:val="00470919"/>
    <w:rsid w:val="004726C5"/>
    <w:rsid w:val="00472C1E"/>
    <w:rsid w:val="00473AE7"/>
    <w:rsid w:val="004753EC"/>
    <w:rsid w:val="00477925"/>
    <w:rsid w:val="00480518"/>
    <w:rsid w:val="0048214D"/>
    <w:rsid w:val="0048376F"/>
    <w:rsid w:val="00483898"/>
    <w:rsid w:val="00484302"/>
    <w:rsid w:val="004876E1"/>
    <w:rsid w:val="0049047E"/>
    <w:rsid w:val="00490BEB"/>
    <w:rsid w:val="00491E8C"/>
    <w:rsid w:val="00491EEE"/>
    <w:rsid w:val="004937E2"/>
    <w:rsid w:val="00494A9C"/>
    <w:rsid w:val="00497AFA"/>
    <w:rsid w:val="004A059C"/>
    <w:rsid w:val="004A0C06"/>
    <w:rsid w:val="004A4096"/>
    <w:rsid w:val="004A457C"/>
    <w:rsid w:val="004A5991"/>
    <w:rsid w:val="004A5B5B"/>
    <w:rsid w:val="004A743A"/>
    <w:rsid w:val="004A7DC2"/>
    <w:rsid w:val="004A7DCE"/>
    <w:rsid w:val="004B36CA"/>
    <w:rsid w:val="004B3932"/>
    <w:rsid w:val="004B4389"/>
    <w:rsid w:val="004B51CD"/>
    <w:rsid w:val="004B5B1D"/>
    <w:rsid w:val="004B5FFA"/>
    <w:rsid w:val="004B7231"/>
    <w:rsid w:val="004B7FE8"/>
    <w:rsid w:val="004C0260"/>
    <w:rsid w:val="004C0330"/>
    <w:rsid w:val="004C0ADE"/>
    <w:rsid w:val="004C40F3"/>
    <w:rsid w:val="004C463B"/>
    <w:rsid w:val="004C4A91"/>
    <w:rsid w:val="004C546F"/>
    <w:rsid w:val="004C6F0F"/>
    <w:rsid w:val="004C7061"/>
    <w:rsid w:val="004C72D0"/>
    <w:rsid w:val="004D1184"/>
    <w:rsid w:val="004D127E"/>
    <w:rsid w:val="004D1612"/>
    <w:rsid w:val="004D29AE"/>
    <w:rsid w:val="004D3C86"/>
    <w:rsid w:val="004D4695"/>
    <w:rsid w:val="004D4AB4"/>
    <w:rsid w:val="004D4ADF"/>
    <w:rsid w:val="004D7647"/>
    <w:rsid w:val="004D7F4F"/>
    <w:rsid w:val="004E04F0"/>
    <w:rsid w:val="004E2A7E"/>
    <w:rsid w:val="004E2FCF"/>
    <w:rsid w:val="004E38A9"/>
    <w:rsid w:val="004E4774"/>
    <w:rsid w:val="004E50DD"/>
    <w:rsid w:val="004E5272"/>
    <w:rsid w:val="004E53BB"/>
    <w:rsid w:val="004E5C44"/>
    <w:rsid w:val="004E601C"/>
    <w:rsid w:val="004E67E7"/>
    <w:rsid w:val="004E73F1"/>
    <w:rsid w:val="004E76F7"/>
    <w:rsid w:val="004F06B3"/>
    <w:rsid w:val="004F16DF"/>
    <w:rsid w:val="004F2AE2"/>
    <w:rsid w:val="004F4B8E"/>
    <w:rsid w:val="004F50EA"/>
    <w:rsid w:val="004F707A"/>
    <w:rsid w:val="004F7844"/>
    <w:rsid w:val="004F7BDD"/>
    <w:rsid w:val="005003FA"/>
    <w:rsid w:val="00501B62"/>
    <w:rsid w:val="00503158"/>
    <w:rsid w:val="0050375D"/>
    <w:rsid w:val="00504092"/>
    <w:rsid w:val="00507290"/>
    <w:rsid w:val="005074C1"/>
    <w:rsid w:val="0051050B"/>
    <w:rsid w:val="005114DC"/>
    <w:rsid w:val="00511BE3"/>
    <w:rsid w:val="005125BA"/>
    <w:rsid w:val="005134F1"/>
    <w:rsid w:val="0051370A"/>
    <w:rsid w:val="00513966"/>
    <w:rsid w:val="005165C1"/>
    <w:rsid w:val="00520A9C"/>
    <w:rsid w:val="00520C7A"/>
    <w:rsid w:val="005211C9"/>
    <w:rsid w:val="0052124D"/>
    <w:rsid w:val="005224D2"/>
    <w:rsid w:val="00524C4C"/>
    <w:rsid w:val="00525DAF"/>
    <w:rsid w:val="00526A65"/>
    <w:rsid w:val="0052732C"/>
    <w:rsid w:val="00531F28"/>
    <w:rsid w:val="00532EE4"/>
    <w:rsid w:val="00533EEF"/>
    <w:rsid w:val="00535682"/>
    <w:rsid w:val="005359D4"/>
    <w:rsid w:val="00536C0F"/>
    <w:rsid w:val="00536DCD"/>
    <w:rsid w:val="0053710A"/>
    <w:rsid w:val="00537521"/>
    <w:rsid w:val="00537911"/>
    <w:rsid w:val="00541A08"/>
    <w:rsid w:val="00542065"/>
    <w:rsid w:val="005425C2"/>
    <w:rsid w:val="005430CF"/>
    <w:rsid w:val="00543401"/>
    <w:rsid w:val="005441E4"/>
    <w:rsid w:val="00544C6D"/>
    <w:rsid w:val="00550F2A"/>
    <w:rsid w:val="00551B47"/>
    <w:rsid w:val="00551CE3"/>
    <w:rsid w:val="00554ABB"/>
    <w:rsid w:val="005566D6"/>
    <w:rsid w:val="005567B9"/>
    <w:rsid w:val="00556A29"/>
    <w:rsid w:val="00556B8F"/>
    <w:rsid w:val="00563B47"/>
    <w:rsid w:val="00563D5D"/>
    <w:rsid w:val="005649A9"/>
    <w:rsid w:val="0056502A"/>
    <w:rsid w:val="00566B85"/>
    <w:rsid w:val="00570A67"/>
    <w:rsid w:val="00571050"/>
    <w:rsid w:val="005734FD"/>
    <w:rsid w:val="00573BD7"/>
    <w:rsid w:val="00574BCA"/>
    <w:rsid w:val="00575662"/>
    <w:rsid w:val="0057588B"/>
    <w:rsid w:val="00577B3E"/>
    <w:rsid w:val="00580676"/>
    <w:rsid w:val="00580EF0"/>
    <w:rsid w:val="00581047"/>
    <w:rsid w:val="00583399"/>
    <w:rsid w:val="00585248"/>
    <w:rsid w:val="0058550B"/>
    <w:rsid w:val="0058552E"/>
    <w:rsid w:val="00585D05"/>
    <w:rsid w:val="00590DB8"/>
    <w:rsid w:val="005914A7"/>
    <w:rsid w:val="00591E86"/>
    <w:rsid w:val="00591FFB"/>
    <w:rsid w:val="005928BB"/>
    <w:rsid w:val="00593FD2"/>
    <w:rsid w:val="00594D7B"/>
    <w:rsid w:val="00596AE3"/>
    <w:rsid w:val="00597F47"/>
    <w:rsid w:val="005A12DD"/>
    <w:rsid w:val="005A2D59"/>
    <w:rsid w:val="005A5EC0"/>
    <w:rsid w:val="005A606E"/>
    <w:rsid w:val="005A69ED"/>
    <w:rsid w:val="005A6E8E"/>
    <w:rsid w:val="005A73A8"/>
    <w:rsid w:val="005A7DB8"/>
    <w:rsid w:val="005A7FD6"/>
    <w:rsid w:val="005B18A5"/>
    <w:rsid w:val="005B2A2B"/>
    <w:rsid w:val="005B2D49"/>
    <w:rsid w:val="005B44C2"/>
    <w:rsid w:val="005B4B42"/>
    <w:rsid w:val="005B4EEA"/>
    <w:rsid w:val="005B6222"/>
    <w:rsid w:val="005B6349"/>
    <w:rsid w:val="005C0F1B"/>
    <w:rsid w:val="005C25FB"/>
    <w:rsid w:val="005C6215"/>
    <w:rsid w:val="005C6DD5"/>
    <w:rsid w:val="005C6F40"/>
    <w:rsid w:val="005C7330"/>
    <w:rsid w:val="005C78E0"/>
    <w:rsid w:val="005D16EC"/>
    <w:rsid w:val="005D1F81"/>
    <w:rsid w:val="005D205A"/>
    <w:rsid w:val="005D3F0F"/>
    <w:rsid w:val="005D435B"/>
    <w:rsid w:val="005D4E1E"/>
    <w:rsid w:val="005D5066"/>
    <w:rsid w:val="005D5219"/>
    <w:rsid w:val="005D56F6"/>
    <w:rsid w:val="005D5F41"/>
    <w:rsid w:val="005D691F"/>
    <w:rsid w:val="005E0EDD"/>
    <w:rsid w:val="005E1870"/>
    <w:rsid w:val="005E7745"/>
    <w:rsid w:val="005F4351"/>
    <w:rsid w:val="005F43FB"/>
    <w:rsid w:val="005F6D99"/>
    <w:rsid w:val="00600558"/>
    <w:rsid w:val="00601D45"/>
    <w:rsid w:val="006021FD"/>
    <w:rsid w:val="006029CD"/>
    <w:rsid w:val="0060437E"/>
    <w:rsid w:val="00606AD3"/>
    <w:rsid w:val="00610873"/>
    <w:rsid w:val="00617175"/>
    <w:rsid w:val="00620DA4"/>
    <w:rsid w:val="006239EF"/>
    <w:rsid w:val="00624BE4"/>
    <w:rsid w:val="00627CD6"/>
    <w:rsid w:val="006328E9"/>
    <w:rsid w:val="006332F4"/>
    <w:rsid w:val="006334DF"/>
    <w:rsid w:val="00633770"/>
    <w:rsid w:val="00634C0A"/>
    <w:rsid w:val="00635221"/>
    <w:rsid w:val="00635D91"/>
    <w:rsid w:val="00637AAD"/>
    <w:rsid w:val="00641B60"/>
    <w:rsid w:val="00642A68"/>
    <w:rsid w:val="00642F83"/>
    <w:rsid w:val="00643A23"/>
    <w:rsid w:val="00643F9D"/>
    <w:rsid w:val="00644A84"/>
    <w:rsid w:val="006500CA"/>
    <w:rsid w:val="006525AD"/>
    <w:rsid w:val="00653919"/>
    <w:rsid w:val="00655AED"/>
    <w:rsid w:val="006562E5"/>
    <w:rsid w:val="006565DE"/>
    <w:rsid w:val="00657EDB"/>
    <w:rsid w:val="0066017F"/>
    <w:rsid w:val="0066112B"/>
    <w:rsid w:val="00665525"/>
    <w:rsid w:val="00670219"/>
    <w:rsid w:val="00671273"/>
    <w:rsid w:val="00673B90"/>
    <w:rsid w:val="00673D5C"/>
    <w:rsid w:val="006771B3"/>
    <w:rsid w:val="006800BD"/>
    <w:rsid w:val="00680F75"/>
    <w:rsid w:val="00681032"/>
    <w:rsid w:val="00681CD7"/>
    <w:rsid w:val="0068276B"/>
    <w:rsid w:val="00682845"/>
    <w:rsid w:val="00682E01"/>
    <w:rsid w:val="00685201"/>
    <w:rsid w:val="00686361"/>
    <w:rsid w:val="00690933"/>
    <w:rsid w:val="00691F1C"/>
    <w:rsid w:val="00692C56"/>
    <w:rsid w:val="00693489"/>
    <w:rsid w:val="006935B5"/>
    <w:rsid w:val="0069416A"/>
    <w:rsid w:val="00694A58"/>
    <w:rsid w:val="006978D0"/>
    <w:rsid w:val="006978D8"/>
    <w:rsid w:val="006A110B"/>
    <w:rsid w:val="006A3EBC"/>
    <w:rsid w:val="006A4F96"/>
    <w:rsid w:val="006B047A"/>
    <w:rsid w:val="006B0998"/>
    <w:rsid w:val="006B3239"/>
    <w:rsid w:val="006B39A2"/>
    <w:rsid w:val="006B3FDB"/>
    <w:rsid w:val="006B5775"/>
    <w:rsid w:val="006B5C26"/>
    <w:rsid w:val="006B707F"/>
    <w:rsid w:val="006B798D"/>
    <w:rsid w:val="006C155A"/>
    <w:rsid w:val="006C32B3"/>
    <w:rsid w:val="006C6709"/>
    <w:rsid w:val="006C731C"/>
    <w:rsid w:val="006C7B46"/>
    <w:rsid w:val="006C7C47"/>
    <w:rsid w:val="006D1551"/>
    <w:rsid w:val="006D29FC"/>
    <w:rsid w:val="006E00DA"/>
    <w:rsid w:val="006E0976"/>
    <w:rsid w:val="006E0D13"/>
    <w:rsid w:val="006E16DE"/>
    <w:rsid w:val="006E3666"/>
    <w:rsid w:val="006E4D00"/>
    <w:rsid w:val="006E77BE"/>
    <w:rsid w:val="006F10C1"/>
    <w:rsid w:val="006F2839"/>
    <w:rsid w:val="006F4D46"/>
    <w:rsid w:val="006F4EAF"/>
    <w:rsid w:val="006F55D4"/>
    <w:rsid w:val="006F6800"/>
    <w:rsid w:val="006F6B65"/>
    <w:rsid w:val="006F7151"/>
    <w:rsid w:val="006F797F"/>
    <w:rsid w:val="00700712"/>
    <w:rsid w:val="00701C57"/>
    <w:rsid w:val="0070228A"/>
    <w:rsid w:val="00703CEC"/>
    <w:rsid w:val="007048EC"/>
    <w:rsid w:val="007052B1"/>
    <w:rsid w:val="00707818"/>
    <w:rsid w:val="00710174"/>
    <w:rsid w:val="007104BD"/>
    <w:rsid w:val="0071147D"/>
    <w:rsid w:val="00711888"/>
    <w:rsid w:val="0071322C"/>
    <w:rsid w:val="00715106"/>
    <w:rsid w:val="00715315"/>
    <w:rsid w:val="00715B2A"/>
    <w:rsid w:val="00715B71"/>
    <w:rsid w:val="00716B3E"/>
    <w:rsid w:val="00717099"/>
    <w:rsid w:val="007211BA"/>
    <w:rsid w:val="00721E51"/>
    <w:rsid w:val="00723A33"/>
    <w:rsid w:val="0072428D"/>
    <w:rsid w:val="007243A6"/>
    <w:rsid w:val="0072462C"/>
    <w:rsid w:val="00724CF0"/>
    <w:rsid w:val="00725660"/>
    <w:rsid w:val="00726B6F"/>
    <w:rsid w:val="00727D02"/>
    <w:rsid w:val="0073051A"/>
    <w:rsid w:val="007320C6"/>
    <w:rsid w:val="007321BC"/>
    <w:rsid w:val="00732E61"/>
    <w:rsid w:val="00734524"/>
    <w:rsid w:val="007347D1"/>
    <w:rsid w:val="007409C0"/>
    <w:rsid w:val="00740FA3"/>
    <w:rsid w:val="0074253B"/>
    <w:rsid w:val="007450A6"/>
    <w:rsid w:val="007454FA"/>
    <w:rsid w:val="00745C00"/>
    <w:rsid w:val="007477B4"/>
    <w:rsid w:val="00750BDC"/>
    <w:rsid w:val="00750EFD"/>
    <w:rsid w:val="00751C02"/>
    <w:rsid w:val="00752B01"/>
    <w:rsid w:val="00755462"/>
    <w:rsid w:val="007562B6"/>
    <w:rsid w:val="007571AE"/>
    <w:rsid w:val="00757E96"/>
    <w:rsid w:val="00760B8B"/>
    <w:rsid w:val="00760CDF"/>
    <w:rsid w:val="00761861"/>
    <w:rsid w:val="0076205C"/>
    <w:rsid w:val="00763162"/>
    <w:rsid w:val="00763589"/>
    <w:rsid w:val="00763B8F"/>
    <w:rsid w:val="0076740F"/>
    <w:rsid w:val="0077001E"/>
    <w:rsid w:val="0077040E"/>
    <w:rsid w:val="007704DC"/>
    <w:rsid w:val="0077214C"/>
    <w:rsid w:val="00772614"/>
    <w:rsid w:val="00772758"/>
    <w:rsid w:val="00772E72"/>
    <w:rsid w:val="00772F49"/>
    <w:rsid w:val="007735A2"/>
    <w:rsid w:val="00775AC0"/>
    <w:rsid w:val="00777C20"/>
    <w:rsid w:val="00780AC2"/>
    <w:rsid w:val="00782A6E"/>
    <w:rsid w:val="0078347C"/>
    <w:rsid w:val="00783AE5"/>
    <w:rsid w:val="00784269"/>
    <w:rsid w:val="00785FA6"/>
    <w:rsid w:val="007860E3"/>
    <w:rsid w:val="00786F6C"/>
    <w:rsid w:val="00790175"/>
    <w:rsid w:val="00790FFF"/>
    <w:rsid w:val="00792C6A"/>
    <w:rsid w:val="007948F7"/>
    <w:rsid w:val="00794CF6"/>
    <w:rsid w:val="0079717C"/>
    <w:rsid w:val="007A211D"/>
    <w:rsid w:val="007A2BF7"/>
    <w:rsid w:val="007A463A"/>
    <w:rsid w:val="007A48AD"/>
    <w:rsid w:val="007A5A75"/>
    <w:rsid w:val="007B14C0"/>
    <w:rsid w:val="007B1EF8"/>
    <w:rsid w:val="007B2B25"/>
    <w:rsid w:val="007B5411"/>
    <w:rsid w:val="007B5604"/>
    <w:rsid w:val="007B6C36"/>
    <w:rsid w:val="007C1279"/>
    <w:rsid w:val="007C2820"/>
    <w:rsid w:val="007C5530"/>
    <w:rsid w:val="007C5F40"/>
    <w:rsid w:val="007C73A1"/>
    <w:rsid w:val="007C7845"/>
    <w:rsid w:val="007C7929"/>
    <w:rsid w:val="007D15FA"/>
    <w:rsid w:val="007D29B2"/>
    <w:rsid w:val="007D364E"/>
    <w:rsid w:val="007D4F44"/>
    <w:rsid w:val="007D6FE1"/>
    <w:rsid w:val="007D73EE"/>
    <w:rsid w:val="007E0ED7"/>
    <w:rsid w:val="007E1F1D"/>
    <w:rsid w:val="007E2DD9"/>
    <w:rsid w:val="007E3325"/>
    <w:rsid w:val="007E36D9"/>
    <w:rsid w:val="007E3E6B"/>
    <w:rsid w:val="007E6F61"/>
    <w:rsid w:val="007E7BC3"/>
    <w:rsid w:val="007F151F"/>
    <w:rsid w:val="007F243B"/>
    <w:rsid w:val="007F25AE"/>
    <w:rsid w:val="007F3308"/>
    <w:rsid w:val="007F70EB"/>
    <w:rsid w:val="007F795E"/>
    <w:rsid w:val="007F7C19"/>
    <w:rsid w:val="008009C0"/>
    <w:rsid w:val="00801309"/>
    <w:rsid w:val="00801991"/>
    <w:rsid w:val="00801C9A"/>
    <w:rsid w:val="00801EE5"/>
    <w:rsid w:val="008020F4"/>
    <w:rsid w:val="0080518B"/>
    <w:rsid w:val="00806C99"/>
    <w:rsid w:val="00806F13"/>
    <w:rsid w:val="008072FE"/>
    <w:rsid w:val="0080785B"/>
    <w:rsid w:val="00811DE8"/>
    <w:rsid w:val="0081316B"/>
    <w:rsid w:val="00813260"/>
    <w:rsid w:val="008142D9"/>
    <w:rsid w:val="00815E98"/>
    <w:rsid w:val="008166FC"/>
    <w:rsid w:val="00816CFE"/>
    <w:rsid w:val="00816E9C"/>
    <w:rsid w:val="00817252"/>
    <w:rsid w:val="00817ABB"/>
    <w:rsid w:val="00820412"/>
    <w:rsid w:val="008208E8"/>
    <w:rsid w:val="00821B51"/>
    <w:rsid w:val="008227D4"/>
    <w:rsid w:val="008231E3"/>
    <w:rsid w:val="00823FF6"/>
    <w:rsid w:val="00824FEE"/>
    <w:rsid w:val="00825373"/>
    <w:rsid w:val="00825F30"/>
    <w:rsid w:val="0082655E"/>
    <w:rsid w:val="00826A9B"/>
    <w:rsid w:val="00830A60"/>
    <w:rsid w:val="00830B8F"/>
    <w:rsid w:val="00830C79"/>
    <w:rsid w:val="00830D57"/>
    <w:rsid w:val="00833C54"/>
    <w:rsid w:val="008357BE"/>
    <w:rsid w:val="00835C26"/>
    <w:rsid w:val="008364C2"/>
    <w:rsid w:val="008377C7"/>
    <w:rsid w:val="008410D0"/>
    <w:rsid w:val="00841D5A"/>
    <w:rsid w:val="00843534"/>
    <w:rsid w:val="008445C9"/>
    <w:rsid w:val="008461EC"/>
    <w:rsid w:val="008464A6"/>
    <w:rsid w:val="00846675"/>
    <w:rsid w:val="00846EE2"/>
    <w:rsid w:val="00847566"/>
    <w:rsid w:val="00847E4F"/>
    <w:rsid w:val="008504B8"/>
    <w:rsid w:val="00850C8F"/>
    <w:rsid w:val="0085219D"/>
    <w:rsid w:val="008564BA"/>
    <w:rsid w:val="00856B2C"/>
    <w:rsid w:val="00856F7D"/>
    <w:rsid w:val="00857F1F"/>
    <w:rsid w:val="00860141"/>
    <w:rsid w:val="00860545"/>
    <w:rsid w:val="00860CB8"/>
    <w:rsid w:val="00861745"/>
    <w:rsid w:val="00861DD1"/>
    <w:rsid w:val="008624D1"/>
    <w:rsid w:val="008629C9"/>
    <w:rsid w:val="0086330E"/>
    <w:rsid w:val="00864935"/>
    <w:rsid w:val="00871359"/>
    <w:rsid w:val="00871AA0"/>
    <w:rsid w:val="00874B8F"/>
    <w:rsid w:val="008768DD"/>
    <w:rsid w:val="0088043B"/>
    <w:rsid w:val="008807D3"/>
    <w:rsid w:val="008814FE"/>
    <w:rsid w:val="00881AF5"/>
    <w:rsid w:val="008829C5"/>
    <w:rsid w:val="0088391A"/>
    <w:rsid w:val="008839B0"/>
    <w:rsid w:val="00883A93"/>
    <w:rsid w:val="008842F1"/>
    <w:rsid w:val="00884632"/>
    <w:rsid w:val="00885212"/>
    <w:rsid w:val="00885935"/>
    <w:rsid w:val="008870D6"/>
    <w:rsid w:val="00890344"/>
    <w:rsid w:val="00890EE2"/>
    <w:rsid w:val="00891FB7"/>
    <w:rsid w:val="00892440"/>
    <w:rsid w:val="00897FE6"/>
    <w:rsid w:val="008A1214"/>
    <w:rsid w:val="008A1217"/>
    <w:rsid w:val="008A1246"/>
    <w:rsid w:val="008A1CAF"/>
    <w:rsid w:val="008A2B75"/>
    <w:rsid w:val="008A44B9"/>
    <w:rsid w:val="008A4DE3"/>
    <w:rsid w:val="008A7A6A"/>
    <w:rsid w:val="008B07A1"/>
    <w:rsid w:val="008B0E72"/>
    <w:rsid w:val="008B11BD"/>
    <w:rsid w:val="008B179F"/>
    <w:rsid w:val="008B2B54"/>
    <w:rsid w:val="008B2D57"/>
    <w:rsid w:val="008B6A33"/>
    <w:rsid w:val="008C0AC4"/>
    <w:rsid w:val="008C1B43"/>
    <w:rsid w:val="008C2B25"/>
    <w:rsid w:val="008C441B"/>
    <w:rsid w:val="008C694A"/>
    <w:rsid w:val="008C7242"/>
    <w:rsid w:val="008D2469"/>
    <w:rsid w:val="008D25B1"/>
    <w:rsid w:val="008D2DCE"/>
    <w:rsid w:val="008D3F73"/>
    <w:rsid w:val="008D4149"/>
    <w:rsid w:val="008D6100"/>
    <w:rsid w:val="008D7741"/>
    <w:rsid w:val="008D78BF"/>
    <w:rsid w:val="008E3EC3"/>
    <w:rsid w:val="008E48FC"/>
    <w:rsid w:val="008E548A"/>
    <w:rsid w:val="008F02C0"/>
    <w:rsid w:val="008F06B3"/>
    <w:rsid w:val="008F4F53"/>
    <w:rsid w:val="008F528D"/>
    <w:rsid w:val="008F591E"/>
    <w:rsid w:val="008F5DD7"/>
    <w:rsid w:val="00903FE9"/>
    <w:rsid w:val="0090544A"/>
    <w:rsid w:val="009070F1"/>
    <w:rsid w:val="009073E5"/>
    <w:rsid w:val="00907F45"/>
    <w:rsid w:val="009109D2"/>
    <w:rsid w:val="00910BD4"/>
    <w:rsid w:val="00911F67"/>
    <w:rsid w:val="00913191"/>
    <w:rsid w:val="00914242"/>
    <w:rsid w:val="00914293"/>
    <w:rsid w:val="00915EB8"/>
    <w:rsid w:val="00916EBB"/>
    <w:rsid w:val="00917061"/>
    <w:rsid w:val="009219FA"/>
    <w:rsid w:val="00924664"/>
    <w:rsid w:val="00924FB6"/>
    <w:rsid w:val="009253AB"/>
    <w:rsid w:val="00925B05"/>
    <w:rsid w:val="009260CB"/>
    <w:rsid w:val="009268C1"/>
    <w:rsid w:val="00927CD3"/>
    <w:rsid w:val="009306F3"/>
    <w:rsid w:val="00930B43"/>
    <w:rsid w:val="0093287B"/>
    <w:rsid w:val="00934C9A"/>
    <w:rsid w:val="0093539E"/>
    <w:rsid w:val="00936F8A"/>
    <w:rsid w:val="00943BBC"/>
    <w:rsid w:val="00943F3E"/>
    <w:rsid w:val="00944122"/>
    <w:rsid w:val="00945BB8"/>
    <w:rsid w:val="00947772"/>
    <w:rsid w:val="00950E5E"/>
    <w:rsid w:val="0095112C"/>
    <w:rsid w:val="0095122D"/>
    <w:rsid w:val="00951D01"/>
    <w:rsid w:val="0095243E"/>
    <w:rsid w:val="009549B8"/>
    <w:rsid w:val="00955515"/>
    <w:rsid w:val="00956A18"/>
    <w:rsid w:val="00956DCB"/>
    <w:rsid w:val="00956F23"/>
    <w:rsid w:val="00957C32"/>
    <w:rsid w:val="00957FC2"/>
    <w:rsid w:val="009602F0"/>
    <w:rsid w:val="00960EBD"/>
    <w:rsid w:val="00960F2E"/>
    <w:rsid w:val="0096171D"/>
    <w:rsid w:val="00961B33"/>
    <w:rsid w:val="009620D5"/>
    <w:rsid w:val="00962E50"/>
    <w:rsid w:val="0096383F"/>
    <w:rsid w:val="0096584B"/>
    <w:rsid w:val="00966EA1"/>
    <w:rsid w:val="00970CEC"/>
    <w:rsid w:val="00970F8C"/>
    <w:rsid w:val="00970FCF"/>
    <w:rsid w:val="00971C72"/>
    <w:rsid w:val="009723F6"/>
    <w:rsid w:val="00972CBA"/>
    <w:rsid w:val="00973480"/>
    <w:rsid w:val="00975023"/>
    <w:rsid w:val="00976756"/>
    <w:rsid w:val="00976C3B"/>
    <w:rsid w:val="00977762"/>
    <w:rsid w:val="00977BD1"/>
    <w:rsid w:val="00977EB1"/>
    <w:rsid w:val="0098067E"/>
    <w:rsid w:val="00980BFC"/>
    <w:rsid w:val="00981901"/>
    <w:rsid w:val="00983FAA"/>
    <w:rsid w:val="0098422B"/>
    <w:rsid w:val="009852BF"/>
    <w:rsid w:val="0098539B"/>
    <w:rsid w:val="00986D4D"/>
    <w:rsid w:val="00987B32"/>
    <w:rsid w:val="009909F4"/>
    <w:rsid w:val="00992B0A"/>
    <w:rsid w:val="0099394B"/>
    <w:rsid w:val="00995134"/>
    <w:rsid w:val="009962C9"/>
    <w:rsid w:val="0099752C"/>
    <w:rsid w:val="009A1455"/>
    <w:rsid w:val="009A1AEF"/>
    <w:rsid w:val="009A2254"/>
    <w:rsid w:val="009A305B"/>
    <w:rsid w:val="009A4464"/>
    <w:rsid w:val="009A45BD"/>
    <w:rsid w:val="009A49A3"/>
    <w:rsid w:val="009A5200"/>
    <w:rsid w:val="009A53E6"/>
    <w:rsid w:val="009A5D82"/>
    <w:rsid w:val="009A5F51"/>
    <w:rsid w:val="009A6174"/>
    <w:rsid w:val="009A6D92"/>
    <w:rsid w:val="009A72BA"/>
    <w:rsid w:val="009A7868"/>
    <w:rsid w:val="009B0878"/>
    <w:rsid w:val="009B3490"/>
    <w:rsid w:val="009B42E4"/>
    <w:rsid w:val="009B4C54"/>
    <w:rsid w:val="009B4C73"/>
    <w:rsid w:val="009B5325"/>
    <w:rsid w:val="009B7E61"/>
    <w:rsid w:val="009C1AAD"/>
    <w:rsid w:val="009C1F1A"/>
    <w:rsid w:val="009C2DDC"/>
    <w:rsid w:val="009C4DC2"/>
    <w:rsid w:val="009C535D"/>
    <w:rsid w:val="009C54F9"/>
    <w:rsid w:val="009C567C"/>
    <w:rsid w:val="009C6080"/>
    <w:rsid w:val="009C623C"/>
    <w:rsid w:val="009C6856"/>
    <w:rsid w:val="009C73EA"/>
    <w:rsid w:val="009D028C"/>
    <w:rsid w:val="009D02C6"/>
    <w:rsid w:val="009D41C9"/>
    <w:rsid w:val="009D752E"/>
    <w:rsid w:val="009D7FDB"/>
    <w:rsid w:val="009E12D7"/>
    <w:rsid w:val="009E5A27"/>
    <w:rsid w:val="009E65AD"/>
    <w:rsid w:val="009E6DDD"/>
    <w:rsid w:val="009E7EFE"/>
    <w:rsid w:val="009F11AF"/>
    <w:rsid w:val="009F27FA"/>
    <w:rsid w:val="009F2CA2"/>
    <w:rsid w:val="009F367D"/>
    <w:rsid w:val="009F3FD9"/>
    <w:rsid w:val="009F4898"/>
    <w:rsid w:val="00A017BC"/>
    <w:rsid w:val="00A026E9"/>
    <w:rsid w:val="00A03C70"/>
    <w:rsid w:val="00A0443C"/>
    <w:rsid w:val="00A10820"/>
    <w:rsid w:val="00A10BC1"/>
    <w:rsid w:val="00A11052"/>
    <w:rsid w:val="00A1189E"/>
    <w:rsid w:val="00A119B5"/>
    <w:rsid w:val="00A12913"/>
    <w:rsid w:val="00A1440D"/>
    <w:rsid w:val="00A14A84"/>
    <w:rsid w:val="00A159E2"/>
    <w:rsid w:val="00A16AB6"/>
    <w:rsid w:val="00A17754"/>
    <w:rsid w:val="00A2097E"/>
    <w:rsid w:val="00A23349"/>
    <w:rsid w:val="00A23F49"/>
    <w:rsid w:val="00A24461"/>
    <w:rsid w:val="00A26E3B"/>
    <w:rsid w:val="00A30D2A"/>
    <w:rsid w:val="00A31AE0"/>
    <w:rsid w:val="00A32706"/>
    <w:rsid w:val="00A33094"/>
    <w:rsid w:val="00A3478A"/>
    <w:rsid w:val="00A34D3E"/>
    <w:rsid w:val="00A36A1B"/>
    <w:rsid w:val="00A37E94"/>
    <w:rsid w:val="00A40F10"/>
    <w:rsid w:val="00A41770"/>
    <w:rsid w:val="00A43624"/>
    <w:rsid w:val="00A43DF4"/>
    <w:rsid w:val="00A447A7"/>
    <w:rsid w:val="00A450DA"/>
    <w:rsid w:val="00A4553E"/>
    <w:rsid w:val="00A4734E"/>
    <w:rsid w:val="00A47511"/>
    <w:rsid w:val="00A4798B"/>
    <w:rsid w:val="00A50911"/>
    <w:rsid w:val="00A53701"/>
    <w:rsid w:val="00A540FF"/>
    <w:rsid w:val="00A54DCF"/>
    <w:rsid w:val="00A57A50"/>
    <w:rsid w:val="00A602DD"/>
    <w:rsid w:val="00A60C44"/>
    <w:rsid w:val="00A61D68"/>
    <w:rsid w:val="00A62577"/>
    <w:rsid w:val="00A62D91"/>
    <w:rsid w:val="00A63F2F"/>
    <w:rsid w:val="00A641E7"/>
    <w:rsid w:val="00A70B35"/>
    <w:rsid w:val="00A7460B"/>
    <w:rsid w:val="00A75A9E"/>
    <w:rsid w:val="00A75AEA"/>
    <w:rsid w:val="00A76167"/>
    <w:rsid w:val="00A763A8"/>
    <w:rsid w:val="00A771CF"/>
    <w:rsid w:val="00A77E9A"/>
    <w:rsid w:val="00A8022A"/>
    <w:rsid w:val="00A819E9"/>
    <w:rsid w:val="00A83BEF"/>
    <w:rsid w:val="00A84C0A"/>
    <w:rsid w:val="00A855F1"/>
    <w:rsid w:val="00A8611E"/>
    <w:rsid w:val="00A866AC"/>
    <w:rsid w:val="00A86AA5"/>
    <w:rsid w:val="00A87275"/>
    <w:rsid w:val="00A87905"/>
    <w:rsid w:val="00A8797F"/>
    <w:rsid w:val="00A90131"/>
    <w:rsid w:val="00A90B50"/>
    <w:rsid w:val="00A91126"/>
    <w:rsid w:val="00A911F5"/>
    <w:rsid w:val="00A91F5B"/>
    <w:rsid w:val="00A9223E"/>
    <w:rsid w:val="00A92926"/>
    <w:rsid w:val="00A95989"/>
    <w:rsid w:val="00A9601C"/>
    <w:rsid w:val="00A972EC"/>
    <w:rsid w:val="00AA00BB"/>
    <w:rsid w:val="00AA0F72"/>
    <w:rsid w:val="00AA10C2"/>
    <w:rsid w:val="00AA1963"/>
    <w:rsid w:val="00AA23C8"/>
    <w:rsid w:val="00AA2571"/>
    <w:rsid w:val="00AA2F9D"/>
    <w:rsid w:val="00AA4AF3"/>
    <w:rsid w:val="00AA5AF4"/>
    <w:rsid w:val="00AA5BD3"/>
    <w:rsid w:val="00AA7A03"/>
    <w:rsid w:val="00AB4B69"/>
    <w:rsid w:val="00AB5587"/>
    <w:rsid w:val="00AB650A"/>
    <w:rsid w:val="00AB756F"/>
    <w:rsid w:val="00AC020E"/>
    <w:rsid w:val="00AC1E6F"/>
    <w:rsid w:val="00AC3626"/>
    <w:rsid w:val="00AC38E3"/>
    <w:rsid w:val="00AC3BFC"/>
    <w:rsid w:val="00AC3D25"/>
    <w:rsid w:val="00AC59BB"/>
    <w:rsid w:val="00AD1F33"/>
    <w:rsid w:val="00AD2854"/>
    <w:rsid w:val="00AD2F35"/>
    <w:rsid w:val="00AD6D10"/>
    <w:rsid w:val="00AD76DF"/>
    <w:rsid w:val="00AD7B76"/>
    <w:rsid w:val="00AE0A5B"/>
    <w:rsid w:val="00AE0F4F"/>
    <w:rsid w:val="00AE21A3"/>
    <w:rsid w:val="00AE2344"/>
    <w:rsid w:val="00AE2705"/>
    <w:rsid w:val="00AE6B27"/>
    <w:rsid w:val="00AE6B9C"/>
    <w:rsid w:val="00AE6D7A"/>
    <w:rsid w:val="00AF1C66"/>
    <w:rsid w:val="00AF3D60"/>
    <w:rsid w:val="00AF6767"/>
    <w:rsid w:val="00AF720D"/>
    <w:rsid w:val="00B0025B"/>
    <w:rsid w:val="00B009A3"/>
    <w:rsid w:val="00B00BB0"/>
    <w:rsid w:val="00B00BEA"/>
    <w:rsid w:val="00B013EF"/>
    <w:rsid w:val="00B02236"/>
    <w:rsid w:val="00B02397"/>
    <w:rsid w:val="00B02590"/>
    <w:rsid w:val="00B04D50"/>
    <w:rsid w:val="00B0787C"/>
    <w:rsid w:val="00B10CF8"/>
    <w:rsid w:val="00B11064"/>
    <w:rsid w:val="00B121DB"/>
    <w:rsid w:val="00B1238B"/>
    <w:rsid w:val="00B13997"/>
    <w:rsid w:val="00B13E96"/>
    <w:rsid w:val="00B14B1C"/>
    <w:rsid w:val="00B1577C"/>
    <w:rsid w:val="00B161E2"/>
    <w:rsid w:val="00B1755A"/>
    <w:rsid w:val="00B17B4A"/>
    <w:rsid w:val="00B17E56"/>
    <w:rsid w:val="00B20B1C"/>
    <w:rsid w:val="00B2186F"/>
    <w:rsid w:val="00B218A5"/>
    <w:rsid w:val="00B2385C"/>
    <w:rsid w:val="00B2415F"/>
    <w:rsid w:val="00B24410"/>
    <w:rsid w:val="00B266C0"/>
    <w:rsid w:val="00B26B2C"/>
    <w:rsid w:val="00B27C27"/>
    <w:rsid w:val="00B3072B"/>
    <w:rsid w:val="00B33D2A"/>
    <w:rsid w:val="00B350BE"/>
    <w:rsid w:val="00B3559A"/>
    <w:rsid w:val="00B36B58"/>
    <w:rsid w:val="00B37422"/>
    <w:rsid w:val="00B40D16"/>
    <w:rsid w:val="00B40F81"/>
    <w:rsid w:val="00B41AC5"/>
    <w:rsid w:val="00B4211C"/>
    <w:rsid w:val="00B42952"/>
    <w:rsid w:val="00B430E0"/>
    <w:rsid w:val="00B43702"/>
    <w:rsid w:val="00B44DD5"/>
    <w:rsid w:val="00B458C3"/>
    <w:rsid w:val="00B46BE6"/>
    <w:rsid w:val="00B471EF"/>
    <w:rsid w:val="00B47469"/>
    <w:rsid w:val="00B47717"/>
    <w:rsid w:val="00B529FA"/>
    <w:rsid w:val="00B53242"/>
    <w:rsid w:val="00B5392E"/>
    <w:rsid w:val="00B54C2D"/>
    <w:rsid w:val="00B55013"/>
    <w:rsid w:val="00B56B8A"/>
    <w:rsid w:val="00B607B3"/>
    <w:rsid w:val="00B63199"/>
    <w:rsid w:val="00B63882"/>
    <w:rsid w:val="00B63E35"/>
    <w:rsid w:val="00B65C2C"/>
    <w:rsid w:val="00B671F8"/>
    <w:rsid w:val="00B67359"/>
    <w:rsid w:val="00B678C8"/>
    <w:rsid w:val="00B67E25"/>
    <w:rsid w:val="00B7019E"/>
    <w:rsid w:val="00B7356C"/>
    <w:rsid w:val="00B73BC8"/>
    <w:rsid w:val="00B73F1C"/>
    <w:rsid w:val="00B74777"/>
    <w:rsid w:val="00B74E3A"/>
    <w:rsid w:val="00B75B81"/>
    <w:rsid w:val="00B75F2D"/>
    <w:rsid w:val="00B80831"/>
    <w:rsid w:val="00B810D3"/>
    <w:rsid w:val="00B8265C"/>
    <w:rsid w:val="00B842DE"/>
    <w:rsid w:val="00B86314"/>
    <w:rsid w:val="00B874EB"/>
    <w:rsid w:val="00B90219"/>
    <w:rsid w:val="00B90249"/>
    <w:rsid w:val="00B91312"/>
    <w:rsid w:val="00B91892"/>
    <w:rsid w:val="00B918F6"/>
    <w:rsid w:val="00B91D04"/>
    <w:rsid w:val="00B93936"/>
    <w:rsid w:val="00B93C36"/>
    <w:rsid w:val="00B94C23"/>
    <w:rsid w:val="00B955A9"/>
    <w:rsid w:val="00B95D67"/>
    <w:rsid w:val="00B960A1"/>
    <w:rsid w:val="00B96310"/>
    <w:rsid w:val="00B96334"/>
    <w:rsid w:val="00B971A4"/>
    <w:rsid w:val="00B9753D"/>
    <w:rsid w:val="00B97657"/>
    <w:rsid w:val="00B979A1"/>
    <w:rsid w:val="00BA0100"/>
    <w:rsid w:val="00BA150D"/>
    <w:rsid w:val="00BA1F34"/>
    <w:rsid w:val="00BA2535"/>
    <w:rsid w:val="00BA54AF"/>
    <w:rsid w:val="00BA6C4B"/>
    <w:rsid w:val="00BA6CB2"/>
    <w:rsid w:val="00BB0588"/>
    <w:rsid w:val="00BB2E00"/>
    <w:rsid w:val="00BB2F8F"/>
    <w:rsid w:val="00BB6BAF"/>
    <w:rsid w:val="00BB7B7E"/>
    <w:rsid w:val="00BC2E84"/>
    <w:rsid w:val="00BC3AA3"/>
    <w:rsid w:val="00BC4502"/>
    <w:rsid w:val="00BC626F"/>
    <w:rsid w:val="00BC6855"/>
    <w:rsid w:val="00BC7D8C"/>
    <w:rsid w:val="00BD1FB2"/>
    <w:rsid w:val="00BD241E"/>
    <w:rsid w:val="00BD2A59"/>
    <w:rsid w:val="00BD32DC"/>
    <w:rsid w:val="00BD3580"/>
    <w:rsid w:val="00BD48D9"/>
    <w:rsid w:val="00BD4B87"/>
    <w:rsid w:val="00BD5D95"/>
    <w:rsid w:val="00BD76BA"/>
    <w:rsid w:val="00BE05A7"/>
    <w:rsid w:val="00BE1944"/>
    <w:rsid w:val="00BE1AA3"/>
    <w:rsid w:val="00BE1CE7"/>
    <w:rsid w:val="00BE2BA0"/>
    <w:rsid w:val="00BE3311"/>
    <w:rsid w:val="00BE5EA9"/>
    <w:rsid w:val="00BE6837"/>
    <w:rsid w:val="00BE6AE3"/>
    <w:rsid w:val="00BF0A99"/>
    <w:rsid w:val="00BF0B77"/>
    <w:rsid w:val="00BF22E6"/>
    <w:rsid w:val="00BF2F4B"/>
    <w:rsid w:val="00BF55FD"/>
    <w:rsid w:val="00BF73C7"/>
    <w:rsid w:val="00BF7F02"/>
    <w:rsid w:val="00BF7FB3"/>
    <w:rsid w:val="00C00D3F"/>
    <w:rsid w:val="00C02294"/>
    <w:rsid w:val="00C026F1"/>
    <w:rsid w:val="00C043DC"/>
    <w:rsid w:val="00C04D90"/>
    <w:rsid w:val="00C04E31"/>
    <w:rsid w:val="00C054AF"/>
    <w:rsid w:val="00C1034C"/>
    <w:rsid w:val="00C1074D"/>
    <w:rsid w:val="00C10B97"/>
    <w:rsid w:val="00C118E1"/>
    <w:rsid w:val="00C11F83"/>
    <w:rsid w:val="00C13A50"/>
    <w:rsid w:val="00C13C89"/>
    <w:rsid w:val="00C1576A"/>
    <w:rsid w:val="00C16919"/>
    <w:rsid w:val="00C17768"/>
    <w:rsid w:val="00C23C14"/>
    <w:rsid w:val="00C23FF8"/>
    <w:rsid w:val="00C25F9C"/>
    <w:rsid w:val="00C275D6"/>
    <w:rsid w:val="00C32DEF"/>
    <w:rsid w:val="00C32F76"/>
    <w:rsid w:val="00C3405A"/>
    <w:rsid w:val="00C34CAD"/>
    <w:rsid w:val="00C37C7C"/>
    <w:rsid w:val="00C40435"/>
    <w:rsid w:val="00C40A34"/>
    <w:rsid w:val="00C4189E"/>
    <w:rsid w:val="00C422B4"/>
    <w:rsid w:val="00C425FA"/>
    <w:rsid w:val="00C429A0"/>
    <w:rsid w:val="00C440A7"/>
    <w:rsid w:val="00C45DD1"/>
    <w:rsid w:val="00C47BB6"/>
    <w:rsid w:val="00C47E7E"/>
    <w:rsid w:val="00C50660"/>
    <w:rsid w:val="00C5072A"/>
    <w:rsid w:val="00C51206"/>
    <w:rsid w:val="00C52B0E"/>
    <w:rsid w:val="00C52D2E"/>
    <w:rsid w:val="00C56700"/>
    <w:rsid w:val="00C5744B"/>
    <w:rsid w:val="00C57DD6"/>
    <w:rsid w:val="00C57FC0"/>
    <w:rsid w:val="00C618DA"/>
    <w:rsid w:val="00C62F67"/>
    <w:rsid w:val="00C648C7"/>
    <w:rsid w:val="00C653BC"/>
    <w:rsid w:val="00C667EE"/>
    <w:rsid w:val="00C67534"/>
    <w:rsid w:val="00C70C66"/>
    <w:rsid w:val="00C70FAC"/>
    <w:rsid w:val="00C7154C"/>
    <w:rsid w:val="00C7164E"/>
    <w:rsid w:val="00C72634"/>
    <w:rsid w:val="00C7287F"/>
    <w:rsid w:val="00C7401A"/>
    <w:rsid w:val="00C747B4"/>
    <w:rsid w:val="00C80381"/>
    <w:rsid w:val="00C804B7"/>
    <w:rsid w:val="00C805B9"/>
    <w:rsid w:val="00C84B16"/>
    <w:rsid w:val="00C864AF"/>
    <w:rsid w:val="00C87D22"/>
    <w:rsid w:val="00C9054B"/>
    <w:rsid w:val="00C90B8E"/>
    <w:rsid w:val="00C91157"/>
    <w:rsid w:val="00C91DA6"/>
    <w:rsid w:val="00C92EFC"/>
    <w:rsid w:val="00C9328A"/>
    <w:rsid w:val="00C9445E"/>
    <w:rsid w:val="00C96A91"/>
    <w:rsid w:val="00CA0DE4"/>
    <w:rsid w:val="00CA367D"/>
    <w:rsid w:val="00CA4371"/>
    <w:rsid w:val="00CA7552"/>
    <w:rsid w:val="00CA7CEA"/>
    <w:rsid w:val="00CB173C"/>
    <w:rsid w:val="00CB2946"/>
    <w:rsid w:val="00CB3EA5"/>
    <w:rsid w:val="00CB40AF"/>
    <w:rsid w:val="00CB4F73"/>
    <w:rsid w:val="00CB567E"/>
    <w:rsid w:val="00CB65E1"/>
    <w:rsid w:val="00CC0D37"/>
    <w:rsid w:val="00CC1EB6"/>
    <w:rsid w:val="00CC2951"/>
    <w:rsid w:val="00CC2955"/>
    <w:rsid w:val="00CC2ACD"/>
    <w:rsid w:val="00CC3E20"/>
    <w:rsid w:val="00CC4415"/>
    <w:rsid w:val="00CC491B"/>
    <w:rsid w:val="00CD0DCD"/>
    <w:rsid w:val="00CD0FA5"/>
    <w:rsid w:val="00CD1423"/>
    <w:rsid w:val="00CD2CEC"/>
    <w:rsid w:val="00CD2F48"/>
    <w:rsid w:val="00CD31EB"/>
    <w:rsid w:val="00CD4143"/>
    <w:rsid w:val="00CD54A1"/>
    <w:rsid w:val="00CD5601"/>
    <w:rsid w:val="00CD5767"/>
    <w:rsid w:val="00CD58AB"/>
    <w:rsid w:val="00CE040A"/>
    <w:rsid w:val="00CE05D2"/>
    <w:rsid w:val="00CE16B5"/>
    <w:rsid w:val="00CE1B88"/>
    <w:rsid w:val="00CE4A4C"/>
    <w:rsid w:val="00CE5254"/>
    <w:rsid w:val="00CE5591"/>
    <w:rsid w:val="00CE6781"/>
    <w:rsid w:val="00CE74AD"/>
    <w:rsid w:val="00CE77CF"/>
    <w:rsid w:val="00CF02DD"/>
    <w:rsid w:val="00CF274C"/>
    <w:rsid w:val="00CF32E8"/>
    <w:rsid w:val="00CF34A0"/>
    <w:rsid w:val="00CF46A1"/>
    <w:rsid w:val="00CF62CC"/>
    <w:rsid w:val="00CF6C45"/>
    <w:rsid w:val="00CF6D6C"/>
    <w:rsid w:val="00CF70D4"/>
    <w:rsid w:val="00CF7874"/>
    <w:rsid w:val="00CF7E36"/>
    <w:rsid w:val="00D00F9E"/>
    <w:rsid w:val="00D01394"/>
    <w:rsid w:val="00D0511E"/>
    <w:rsid w:val="00D0589B"/>
    <w:rsid w:val="00D05FF0"/>
    <w:rsid w:val="00D0B012"/>
    <w:rsid w:val="00D108CD"/>
    <w:rsid w:val="00D1108A"/>
    <w:rsid w:val="00D11868"/>
    <w:rsid w:val="00D13880"/>
    <w:rsid w:val="00D13E8C"/>
    <w:rsid w:val="00D14460"/>
    <w:rsid w:val="00D15453"/>
    <w:rsid w:val="00D1659C"/>
    <w:rsid w:val="00D16DF5"/>
    <w:rsid w:val="00D204BD"/>
    <w:rsid w:val="00D21644"/>
    <w:rsid w:val="00D22536"/>
    <w:rsid w:val="00D233D5"/>
    <w:rsid w:val="00D243A5"/>
    <w:rsid w:val="00D248EC"/>
    <w:rsid w:val="00D24B96"/>
    <w:rsid w:val="00D25E85"/>
    <w:rsid w:val="00D30B84"/>
    <w:rsid w:val="00D31AE0"/>
    <w:rsid w:val="00D31AF5"/>
    <w:rsid w:val="00D32757"/>
    <w:rsid w:val="00D34F93"/>
    <w:rsid w:val="00D35268"/>
    <w:rsid w:val="00D36AD4"/>
    <w:rsid w:val="00D36D2B"/>
    <w:rsid w:val="00D36DB3"/>
    <w:rsid w:val="00D37C49"/>
    <w:rsid w:val="00D409B3"/>
    <w:rsid w:val="00D41CA6"/>
    <w:rsid w:val="00D428C6"/>
    <w:rsid w:val="00D43DDD"/>
    <w:rsid w:val="00D440AA"/>
    <w:rsid w:val="00D457D3"/>
    <w:rsid w:val="00D46F6C"/>
    <w:rsid w:val="00D50AF4"/>
    <w:rsid w:val="00D50F5C"/>
    <w:rsid w:val="00D50F91"/>
    <w:rsid w:val="00D51225"/>
    <w:rsid w:val="00D5151D"/>
    <w:rsid w:val="00D51C0F"/>
    <w:rsid w:val="00D52073"/>
    <w:rsid w:val="00D523EE"/>
    <w:rsid w:val="00D53E39"/>
    <w:rsid w:val="00D547C2"/>
    <w:rsid w:val="00D556D9"/>
    <w:rsid w:val="00D558AE"/>
    <w:rsid w:val="00D56DF3"/>
    <w:rsid w:val="00D60CCE"/>
    <w:rsid w:val="00D618B0"/>
    <w:rsid w:val="00D63211"/>
    <w:rsid w:val="00D64C93"/>
    <w:rsid w:val="00D67304"/>
    <w:rsid w:val="00D6772C"/>
    <w:rsid w:val="00D67F51"/>
    <w:rsid w:val="00D719D5"/>
    <w:rsid w:val="00D7256A"/>
    <w:rsid w:val="00D729E3"/>
    <w:rsid w:val="00D7447C"/>
    <w:rsid w:val="00D7607C"/>
    <w:rsid w:val="00D766E4"/>
    <w:rsid w:val="00D76C25"/>
    <w:rsid w:val="00D773EA"/>
    <w:rsid w:val="00D806BF"/>
    <w:rsid w:val="00D815C5"/>
    <w:rsid w:val="00D8251A"/>
    <w:rsid w:val="00D826B7"/>
    <w:rsid w:val="00D83851"/>
    <w:rsid w:val="00D87AF7"/>
    <w:rsid w:val="00D918EE"/>
    <w:rsid w:val="00D92C26"/>
    <w:rsid w:val="00D93252"/>
    <w:rsid w:val="00D932AD"/>
    <w:rsid w:val="00D93DC3"/>
    <w:rsid w:val="00D95275"/>
    <w:rsid w:val="00D952DF"/>
    <w:rsid w:val="00D972DC"/>
    <w:rsid w:val="00D976B4"/>
    <w:rsid w:val="00DA125F"/>
    <w:rsid w:val="00DA1525"/>
    <w:rsid w:val="00DA159E"/>
    <w:rsid w:val="00DA1AAA"/>
    <w:rsid w:val="00DA39F0"/>
    <w:rsid w:val="00DA6B17"/>
    <w:rsid w:val="00DA6F15"/>
    <w:rsid w:val="00DA7EE2"/>
    <w:rsid w:val="00DB1228"/>
    <w:rsid w:val="00DB1B68"/>
    <w:rsid w:val="00DB23A3"/>
    <w:rsid w:val="00DB402C"/>
    <w:rsid w:val="00DB5EB7"/>
    <w:rsid w:val="00DC03BF"/>
    <w:rsid w:val="00DC1E89"/>
    <w:rsid w:val="00DC206C"/>
    <w:rsid w:val="00DC3C90"/>
    <w:rsid w:val="00DC561F"/>
    <w:rsid w:val="00DC5739"/>
    <w:rsid w:val="00DC599D"/>
    <w:rsid w:val="00DC5C6E"/>
    <w:rsid w:val="00DC5F5F"/>
    <w:rsid w:val="00DC6CE1"/>
    <w:rsid w:val="00DC74A3"/>
    <w:rsid w:val="00DD0D37"/>
    <w:rsid w:val="00DD0F8E"/>
    <w:rsid w:val="00DD119D"/>
    <w:rsid w:val="00DD3080"/>
    <w:rsid w:val="00DD5571"/>
    <w:rsid w:val="00DD6F03"/>
    <w:rsid w:val="00DD70C2"/>
    <w:rsid w:val="00DD7E6E"/>
    <w:rsid w:val="00DE0B2B"/>
    <w:rsid w:val="00DE1DB1"/>
    <w:rsid w:val="00DE3985"/>
    <w:rsid w:val="00DE4F98"/>
    <w:rsid w:val="00DE55B3"/>
    <w:rsid w:val="00DE5A6B"/>
    <w:rsid w:val="00DF1799"/>
    <w:rsid w:val="00DF1AAE"/>
    <w:rsid w:val="00DF44D1"/>
    <w:rsid w:val="00DF57B5"/>
    <w:rsid w:val="00DF59F0"/>
    <w:rsid w:val="00DF5F25"/>
    <w:rsid w:val="00DF65C2"/>
    <w:rsid w:val="00DF6F19"/>
    <w:rsid w:val="00DF72F9"/>
    <w:rsid w:val="00E004F7"/>
    <w:rsid w:val="00E00D85"/>
    <w:rsid w:val="00E011EE"/>
    <w:rsid w:val="00E038ED"/>
    <w:rsid w:val="00E04368"/>
    <w:rsid w:val="00E070AA"/>
    <w:rsid w:val="00E12575"/>
    <w:rsid w:val="00E14B95"/>
    <w:rsid w:val="00E16398"/>
    <w:rsid w:val="00E165FD"/>
    <w:rsid w:val="00E173D2"/>
    <w:rsid w:val="00E20043"/>
    <w:rsid w:val="00E20F05"/>
    <w:rsid w:val="00E22019"/>
    <w:rsid w:val="00E22952"/>
    <w:rsid w:val="00E22B0F"/>
    <w:rsid w:val="00E23026"/>
    <w:rsid w:val="00E23819"/>
    <w:rsid w:val="00E27760"/>
    <w:rsid w:val="00E306F5"/>
    <w:rsid w:val="00E31319"/>
    <w:rsid w:val="00E31956"/>
    <w:rsid w:val="00E34E37"/>
    <w:rsid w:val="00E36CA1"/>
    <w:rsid w:val="00E37868"/>
    <w:rsid w:val="00E37F83"/>
    <w:rsid w:val="00E40AA4"/>
    <w:rsid w:val="00E40B60"/>
    <w:rsid w:val="00E42A49"/>
    <w:rsid w:val="00E4313F"/>
    <w:rsid w:val="00E43D11"/>
    <w:rsid w:val="00E4487C"/>
    <w:rsid w:val="00E44D41"/>
    <w:rsid w:val="00E44D6A"/>
    <w:rsid w:val="00E45A66"/>
    <w:rsid w:val="00E45F11"/>
    <w:rsid w:val="00E46A9A"/>
    <w:rsid w:val="00E475A2"/>
    <w:rsid w:val="00E475F9"/>
    <w:rsid w:val="00E47ACF"/>
    <w:rsid w:val="00E47C08"/>
    <w:rsid w:val="00E51945"/>
    <w:rsid w:val="00E5502B"/>
    <w:rsid w:val="00E56BDD"/>
    <w:rsid w:val="00E60878"/>
    <w:rsid w:val="00E60A02"/>
    <w:rsid w:val="00E61095"/>
    <w:rsid w:val="00E6269D"/>
    <w:rsid w:val="00E62C41"/>
    <w:rsid w:val="00E64BF4"/>
    <w:rsid w:val="00E668F8"/>
    <w:rsid w:val="00E66B1D"/>
    <w:rsid w:val="00E67498"/>
    <w:rsid w:val="00E6750F"/>
    <w:rsid w:val="00E70215"/>
    <w:rsid w:val="00E70B02"/>
    <w:rsid w:val="00E71213"/>
    <w:rsid w:val="00E71D48"/>
    <w:rsid w:val="00E72329"/>
    <w:rsid w:val="00E75551"/>
    <w:rsid w:val="00E7668F"/>
    <w:rsid w:val="00E771BC"/>
    <w:rsid w:val="00E77F7C"/>
    <w:rsid w:val="00E82E46"/>
    <w:rsid w:val="00E82E9F"/>
    <w:rsid w:val="00E82FBA"/>
    <w:rsid w:val="00E85851"/>
    <w:rsid w:val="00E8710A"/>
    <w:rsid w:val="00E87674"/>
    <w:rsid w:val="00E90858"/>
    <w:rsid w:val="00E9093C"/>
    <w:rsid w:val="00E946AE"/>
    <w:rsid w:val="00E94B1A"/>
    <w:rsid w:val="00E974FA"/>
    <w:rsid w:val="00E97B3D"/>
    <w:rsid w:val="00E97BB3"/>
    <w:rsid w:val="00EA0471"/>
    <w:rsid w:val="00EA05D5"/>
    <w:rsid w:val="00EA0891"/>
    <w:rsid w:val="00EA0CD9"/>
    <w:rsid w:val="00EA0D4A"/>
    <w:rsid w:val="00EA1A2E"/>
    <w:rsid w:val="00EA2458"/>
    <w:rsid w:val="00EA3BA7"/>
    <w:rsid w:val="00EA5DDD"/>
    <w:rsid w:val="00EA714E"/>
    <w:rsid w:val="00EA7443"/>
    <w:rsid w:val="00EB0695"/>
    <w:rsid w:val="00EB1AD5"/>
    <w:rsid w:val="00EB327A"/>
    <w:rsid w:val="00EB34FB"/>
    <w:rsid w:val="00EB4E53"/>
    <w:rsid w:val="00EB533D"/>
    <w:rsid w:val="00EB6EAD"/>
    <w:rsid w:val="00EC01CE"/>
    <w:rsid w:val="00EC01D7"/>
    <w:rsid w:val="00EC054F"/>
    <w:rsid w:val="00EC1A48"/>
    <w:rsid w:val="00EC253C"/>
    <w:rsid w:val="00EC3ACE"/>
    <w:rsid w:val="00ED081A"/>
    <w:rsid w:val="00ED2278"/>
    <w:rsid w:val="00ED2291"/>
    <w:rsid w:val="00EE0331"/>
    <w:rsid w:val="00EE0A65"/>
    <w:rsid w:val="00EE15F4"/>
    <w:rsid w:val="00EE1DEE"/>
    <w:rsid w:val="00EE28D8"/>
    <w:rsid w:val="00EE363B"/>
    <w:rsid w:val="00EE5F9A"/>
    <w:rsid w:val="00EE648C"/>
    <w:rsid w:val="00EF033D"/>
    <w:rsid w:val="00EF31E3"/>
    <w:rsid w:val="00EF4C0D"/>
    <w:rsid w:val="00EF5682"/>
    <w:rsid w:val="00EF5743"/>
    <w:rsid w:val="00F0008E"/>
    <w:rsid w:val="00F02122"/>
    <w:rsid w:val="00F0372A"/>
    <w:rsid w:val="00F03798"/>
    <w:rsid w:val="00F05CA9"/>
    <w:rsid w:val="00F05DE2"/>
    <w:rsid w:val="00F06653"/>
    <w:rsid w:val="00F1151C"/>
    <w:rsid w:val="00F129CF"/>
    <w:rsid w:val="00F12D5D"/>
    <w:rsid w:val="00F13AD0"/>
    <w:rsid w:val="00F14528"/>
    <w:rsid w:val="00F20072"/>
    <w:rsid w:val="00F21DD6"/>
    <w:rsid w:val="00F234E0"/>
    <w:rsid w:val="00F23C8D"/>
    <w:rsid w:val="00F23CB3"/>
    <w:rsid w:val="00F23E31"/>
    <w:rsid w:val="00F24894"/>
    <w:rsid w:val="00F25239"/>
    <w:rsid w:val="00F322BE"/>
    <w:rsid w:val="00F32FCC"/>
    <w:rsid w:val="00F34557"/>
    <w:rsid w:val="00F35085"/>
    <w:rsid w:val="00F35DD7"/>
    <w:rsid w:val="00F403BC"/>
    <w:rsid w:val="00F40950"/>
    <w:rsid w:val="00F40F5E"/>
    <w:rsid w:val="00F4231A"/>
    <w:rsid w:val="00F433D9"/>
    <w:rsid w:val="00F449D5"/>
    <w:rsid w:val="00F47B84"/>
    <w:rsid w:val="00F5020F"/>
    <w:rsid w:val="00F5055E"/>
    <w:rsid w:val="00F54B34"/>
    <w:rsid w:val="00F5583F"/>
    <w:rsid w:val="00F56579"/>
    <w:rsid w:val="00F56581"/>
    <w:rsid w:val="00F61B47"/>
    <w:rsid w:val="00F63FDD"/>
    <w:rsid w:val="00F641FA"/>
    <w:rsid w:val="00F65C72"/>
    <w:rsid w:val="00F65F3B"/>
    <w:rsid w:val="00F70613"/>
    <w:rsid w:val="00F718E4"/>
    <w:rsid w:val="00F730D6"/>
    <w:rsid w:val="00F7332B"/>
    <w:rsid w:val="00F733E3"/>
    <w:rsid w:val="00F73C29"/>
    <w:rsid w:val="00F74781"/>
    <w:rsid w:val="00F75801"/>
    <w:rsid w:val="00F76142"/>
    <w:rsid w:val="00F7668F"/>
    <w:rsid w:val="00F774B2"/>
    <w:rsid w:val="00F802F7"/>
    <w:rsid w:val="00F81128"/>
    <w:rsid w:val="00F812F1"/>
    <w:rsid w:val="00F816E9"/>
    <w:rsid w:val="00F84120"/>
    <w:rsid w:val="00F84DCE"/>
    <w:rsid w:val="00F85619"/>
    <w:rsid w:val="00F86654"/>
    <w:rsid w:val="00F87591"/>
    <w:rsid w:val="00F87B5D"/>
    <w:rsid w:val="00F9077B"/>
    <w:rsid w:val="00F91B1D"/>
    <w:rsid w:val="00F926E1"/>
    <w:rsid w:val="00F929A0"/>
    <w:rsid w:val="00F93A85"/>
    <w:rsid w:val="00F93D7F"/>
    <w:rsid w:val="00F95673"/>
    <w:rsid w:val="00F97D95"/>
    <w:rsid w:val="00FA0223"/>
    <w:rsid w:val="00FA0D89"/>
    <w:rsid w:val="00FA1377"/>
    <w:rsid w:val="00FA1A5E"/>
    <w:rsid w:val="00FA2369"/>
    <w:rsid w:val="00FA39A6"/>
    <w:rsid w:val="00FA4385"/>
    <w:rsid w:val="00FA5677"/>
    <w:rsid w:val="00FA6205"/>
    <w:rsid w:val="00FA7B12"/>
    <w:rsid w:val="00FB2818"/>
    <w:rsid w:val="00FB2F4C"/>
    <w:rsid w:val="00FB3252"/>
    <w:rsid w:val="00FB3DBC"/>
    <w:rsid w:val="00FB3E96"/>
    <w:rsid w:val="00FB41EA"/>
    <w:rsid w:val="00FB7021"/>
    <w:rsid w:val="00FB726C"/>
    <w:rsid w:val="00FB7ACB"/>
    <w:rsid w:val="00FC2064"/>
    <w:rsid w:val="00FC2944"/>
    <w:rsid w:val="00FC4E98"/>
    <w:rsid w:val="00FD18B9"/>
    <w:rsid w:val="00FD2DE4"/>
    <w:rsid w:val="00FD371B"/>
    <w:rsid w:val="00FD4793"/>
    <w:rsid w:val="00FD51B7"/>
    <w:rsid w:val="00FD52C1"/>
    <w:rsid w:val="00FD63DF"/>
    <w:rsid w:val="00FD73E0"/>
    <w:rsid w:val="00FE0A4F"/>
    <w:rsid w:val="00FE0D67"/>
    <w:rsid w:val="00FE403A"/>
    <w:rsid w:val="00FE45C2"/>
    <w:rsid w:val="00FE539D"/>
    <w:rsid w:val="00FE5622"/>
    <w:rsid w:val="00FE5676"/>
    <w:rsid w:val="00FE59A1"/>
    <w:rsid w:val="00FE6318"/>
    <w:rsid w:val="00FE7A5C"/>
    <w:rsid w:val="00FF040F"/>
    <w:rsid w:val="00FF04A0"/>
    <w:rsid w:val="00FF0560"/>
    <w:rsid w:val="00FF0858"/>
    <w:rsid w:val="00FF1FF4"/>
    <w:rsid w:val="00FF237A"/>
    <w:rsid w:val="00FF3D69"/>
    <w:rsid w:val="00FF3EF1"/>
    <w:rsid w:val="00FF466B"/>
    <w:rsid w:val="00FF4A92"/>
    <w:rsid w:val="00FF6F84"/>
    <w:rsid w:val="00FF780B"/>
    <w:rsid w:val="017348FD"/>
    <w:rsid w:val="030F6496"/>
    <w:rsid w:val="03884E60"/>
    <w:rsid w:val="0451A8D7"/>
    <w:rsid w:val="050E3D6A"/>
    <w:rsid w:val="08A3B0EE"/>
    <w:rsid w:val="097CA9F1"/>
    <w:rsid w:val="09FD2ED1"/>
    <w:rsid w:val="0EF06632"/>
    <w:rsid w:val="104EF17D"/>
    <w:rsid w:val="13D2A98D"/>
    <w:rsid w:val="190059C0"/>
    <w:rsid w:val="1D4DAB9C"/>
    <w:rsid w:val="2120F86B"/>
    <w:rsid w:val="233FC677"/>
    <w:rsid w:val="23B16E37"/>
    <w:rsid w:val="25AAD019"/>
    <w:rsid w:val="2ABA2613"/>
    <w:rsid w:val="2D75FE58"/>
    <w:rsid w:val="2F9FC9A7"/>
    <w:rsid w:val="3168CA8B"/>
    <w:rsid w:val="3AA1275E"/>
    <w:rsid w:val="3AD06851"/>
    <w:rsid w:val="3D5ADECA"/>
    <w:rsid w:val="44F5FF3A"/>
    <w:rsid w:val="46BBDF52"/>
    <w:rsid w:val="46FF3BEC"/>
    <w:rsid w:val="4CC11C7B"/>
    <w:rsid w:val="4EB0E650"/>
    <w:rsid w:val="50A65E89"/>
    <w:rsid w:val="5E6EFC32"/>
    <w:rsid w:val="5FFB9CEB"/>
    <w:rsid w:val="640472C4"/>
    <w:rsid w:val="6643C3DA"/>
    <w:rsid w:val="6F86513E"/>
    <w:rsid w:val="6FBA614D"/>
    <w:rsid w:val="7435F9CD"/>
    <w:rsid w:val="756CB722"/>
    <w:rsid w:val="7749E61D"/>
    <w:rsid w:val="7BB139BC"/>
    <w:rsid w:val="7C96946B"/>
    <w:rsid w:val="7F409A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735BD"/>
  <w15:docId w15:val="{CDAEA23A-0BBE-46B6-AA3A-AC46222D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5E77"/>
  </w:style>
  <w:style w:type="paragraph" w:styleId="Heading1">
    <w:name w:val="heading 1"/>
    <w:basedOn w:val="Normal"/>
    <w:next w:val="Normal"/>
    <w:link w:val="Heading1Char"/>
    <w:uiPriority w:val="9"/>
    <w:qFormat/>
    <w:rsid w:val="00D21644"/>
    <w:pPr>
      <w:keepNext/>
      <w:keepLines/>
      <w:numPr>
        <w:numId w:val="4"/>
      </w:numPr>
      <w:spacing w:before="480" w:after="240"/>
      <w:jc w:val="left"/>
      <w:outlineLvl w:val="0"/>
    </w:pPr>
    <w:rPr>
      <w:rFonts w:eastAsiaTheme="majorEastAsia" w:cstheme="majorBidi"/>
      <w:color w:val="004B64" w:themeColor="accent2"/>
      <w:sz w:val="32"/>
      <w:szCs w:val="32"/>
    </w:rPr>
  </w:style>
  <w:style w:type="paragraph" w:styleId="Heading2">
    <w:name w:val="heading 2"/>
    <w:basedOn w:val="Normal"/>
    <w:next w:val="Normal"/>
    <w:link w:val="Heading2Char"/>
    <w:uiPriority w:val="9"/>
    <w:unhideWhenUsed/>
    <w:qFormat/>
    <w:rsid w:val="00551B47"/>
    <w:pPr>
      <w:keepNext/>
      <w:keepLines/>
      <w:numPr>
        <w:ilvl w:val="1"/>
        <w:numId w:val="4"/>
      </w:numPr>
      <w:spacing w:before="360" w:after="240"/>
      <w:jc w:val="left"/>
      <w:outlineLvl w:val="1"/>
    </w:pPr>
    <w:rPr>
      <w:rFonts w:eastAsiaTheme="majorEastAsia" w:cstheme="majorBidi"/>
      <w:color w:val="004B64" w:themeColor="accent2"/>
      <w:sz w:val="28"/>
      <w:szCs w:val="26"/>
    </w:rPr>
  </w:style>
  <w:style w:type="paragraph" w:styleId="Heading3">
    <w:name w:val="heading 3"/>
    <w:basedOn w:val="Normal"/>
    <w:next w:val="Normal"/>
    <w:link w:val="Heading3Char"/>
    <w:uiPriority w:val="9"/>
    <w:unhideWhenUsed/>
    <w:qFormat/>
    <w:rsid w:val="00CC0D37"/>
    <w:pPr>
      <w:keepNext/>
      <w:keepLines/>
      <w:numPr>
        <w:ilvl w:val="2"/>
        <w:numId w:val="4"/>
      </w:numPr>
      <w:spacing w:before="360" w:after="120"/>
      <w:jc w:val="left"/>
      <w:outlineLvl w:val="2"/>
    </w:pPr>
    <w:rPr>
      <w:rFonts w:ascii="Arial" w:eastAsiaTheme="majorEastAsia" w:hAnsi="Arial" w:cstheme="majorBidi"/>
      <w:bCs/>
      <w:color w:val="004B64" w:themeColor="accent2"/>
      <w:sz w:val="20"/>
      <w:lang w:val="en-GB"/>
    </w:rPr>
  </w:style>
  <w:style w:type="paragraph" w:styleId="Heading4">
    <w:name w:val="heading 4"/>
    <w:basedOn w:val="Normal"/>
    <w:next w:val="Normal"/>
    <w:link w:val="Heading4Char"/>
    <w:uiPriority w:val="9"/>
    <w:unhideWhenUsed/>
    <w:rsid w:val="000A75D2"/>
    <w:pPr>
      <w:keepNext/>
      <w:keepLines/>
      <w:spacing w:before="240" w:after="120"/>
      <w:jc w:val="left"/>
      <w:outlineLvl w:val="3"/>
    </w:pPr>
    <w:rPr>
      <w:rFonts w:asciiTheme="majorHAnsi" w:eastAsiaTheme="majorEastAsia" w:hAnsiTheme="majorHAnsi" w:cstheme="majorBidi"/>
      <w:b/>
      <w:bCs/>
      <w:iCs/>
      <w:color w:val="004B64" w:themeColor="accent2"/>
      <w:sz w:val="20"/>
      <w:lang w:eastAsia="en-AU"/>
    </w:rPr>
  </w:style>
  <w:style w:type="paragraph" w:styleId="Heading5">
    <w:name w:val="heading 5"/>
    <w:aliases w:val="h5"/>
    <w:basedOn w:val="Normal"/>
    <w:next w:val="Normal"/>
    <w:link w:val="Heading5Char"/>
    <w:uiPriority w:val="9"/>
    <w:unhideWhenUsed/>
    <w:rsid w:val="003A35E3"/>
    <w:pPr>
      <w:keepNext/>
      <w:keepLines/>
      <w:numPr>
        <w:ilvl w:val="4"/>
        <w:numId w:val="4"/>
      </w:numPr>
      <w:spacing w:before="200" w:after="0" w:line="276" w:lineRule="auto"/>
      <w:jc w:val="left"/>
      <w:outlineLvl w:val="4"/>
    </w:pPr>
    <w:rPr>
      <w:rFonts w:asciiTheme="majorHAnsi" w:eastAsiaTheme="majorEastAsia" w:hAnsiTheme="majorHAnsi" w:cstheme="majorBidi"/>
      <w:color w:val="110F0F" w:themeColor="accent1" w:themeShade="7F"/>
      <w:lang w:eastAsia="en-AU"/>
    </w:rPr>
  </w:style>
  <w:style w:type="paragraph" w:styleId="Heading6">
    <w:name w:val="heading 6"/>
    <w:basedOn w:val="Normal"/>
    <w:next w:val="Normal"/>
    <w:link w:val="Heading6Char"/>
    <w:uiPriority w:val="9"/>
    <w:unhideWhenUsed/>
    <w:rsid w:val="003A35E3"/>
    <w:pPr>
      <w:keepNext/>
      <w:keepLines/>
      <w:numPr>
        <w:ilvl w:val="5"/>
        <w:numId w:val="4"/>
      </w:numPr>
      <w:spacing w:before="200" w:after="0" w:line="276" w:lineRule="auto"/>
      <w:jc w:val="left"/>
      <w:outlineLvl w:val="5"/>
    </w:pPr>
    <w:rPr>
      <w:rFonts w:asciiTheme="majorHAnsi" w:eastAsiaTheme="majorEastAsia" w:hAnsiTheme="majorHAnsi" w:cstheme="majorBidi"/>
      <w:i/>
      <w:iCs/>
      <w:color w:val="110F0F" w:themeColor="accent1" w:themeShade="7F"/>
      <w:lang w:eastAsia="en-AU"/>
    </w:rPr>
  </w:style>
  <w:style w:type="paragraph" w:styleId="Heading7">
    <w:name w:val="heading 7"/>
    <w:basedOn w:val="Normal"/>
    <w:next w:val="Normal"/>
    <w:link w:val="Heading7Char"/>
    <w:uiPriority w:val="9"/>
    <w:unhideWhenUsed/>
    <w:rsid w:val="003A35E3"/>
    <w:pPr>
      <w:keepNext/>
      <w:keepLines/>
      <w:numPr>
        <w:ilvl w:val="6"/>
        <w:numId w:val="4"/>
      </w:numPr>
      <w:spacing w:before="200" w:after="0" w:line="276" w:lineRule="auto"/>
      <w:jc w:val="left"/>
      <w:outlineLvl w:val="6"/>
    </w:pPr>
    <w:rPr>
      <w:rFonts w:asciiTheme="majorHAnsi" w:eastAsiaTheme="majorEastAsia" w:hAnsiTheme="majorHAnsi" w:cstheme="majorBidi"/>
      <w:i/>
      <w:iCs/>
      <w:color w:val="404040" w:themeColor="text1" w:themeTint="BF"/>
      <w:lang w:eastAsia="en-AU"/>
    </w:rPr>
  </w:style>
  <w:style w:type="paragraph" w:styleId="Heading8">
    <w:name w:val="heading 8"/>
    <w:basedOn w:val="Normal"/>
    <w:next w:val="Normal"/>
    <w:link w:val="Heading8Char"/>
    <w:uiPriority w:val="9"/>
    <w:unhideWhenUsed/>
    <w:rsid w:val="003A35E3"/>
    <w:pPr>
      <w:keepNext/>
      <w:keepLines/>
      <w:numPr>
        <w:ilvl w:val="7"/>
        <w:numId w:val="4"/>
      </w:numPr>
      <w:spacing w:before="200" w:after="0" w:line="276" w:lineRule="auto"/>
      <w:jc w:val="left"/>
      <w:outlineLvl w:val="7"/>
    </w:pPr>
    <w:rPr>
      <w:rFonts w:asciiTheme="majorHAnsi" w:eastAsiaTheme="majorEastAsia" w:hAnsiTheme="majorHAnsi" w:cstheme="majorBidi"/>
      <w:color w:val="231F20" w:themeColor="accent1"/>
      <w:sz w:val="20"/>
      <w:szCs w:val="20"/>
      <w:lang w:eastAsia="en-AU"/>
    </w:rPr>
  </w:style>
  <w:style w:type="paragraph" w:styleId="Heading9">
    <w:name w:val="heading 9"/>
    <w:basedOn w:val="Normal"/>
    <w:next w:val="Normal"/>
    <w:link w:val="Heading9Char"/>
    <w:uiPriority w:val="9"/>
    <w:unhideWhenUsed/>
    <w:rsid w:val="003A35E3"/>
    <w:pPr>
      <w:keepNext/>
      <w:keepLines/>
      <w:numPr>
        <w:ilvl w:val="8"/>
        <w:numId w:val="4"/>
      </w:numPr>
      <w:spacing w:before="200" w:after="0" w:line="276" w:lineRule="auto"/>
      <w:jc w:val="left"/>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644"/>
    <w:rPr>
      <w:rFonts w:eastAsiaTheme="majorEastAsia" w:cstheme="majorBidi"/>
      <w:color w:val="004B64" w:themeColor="accent2"/>
      <w:sz w:val="32"/>
      <w:szCs w:val="32"/>
    </w:rPr>
  </w:style>
  <w:style w:type="character" w:customStyle="1" w:styleId="Heading2Char">
    <w:name w:val="Heading 2 Char"/>
    <w:basedOn w:val="DefaultParagraphFont"/>
    <w:link w:val="Heading2"/>
    <w:uiPriority w:val="9"/>
    <w:rsid w:val="00551B47"/>
    <w:rPr>
      <w:rFonts w:eastAsiaTheme="majorEastAsia" w:cstheme="majorBidi"/>
      <w:color w:val="004B64" w:themeColor="accent2"/>
      <w:sz w:val="28"/>
      <w:szCs w:val="26"/>
    </w:rPr>
  </w:style>
  <w:style w:type="character" w:customStyle="1" w:styleId="Heading3Char">
    <w:name w:val="Heading 3 Char"/>
    <w:basedOn w:val="DefaultParagraphFont"/>
    <w:link w:val="Heading3"/>
    <w:uiPriority w:val="9"/>
    <w:rsid w:val="00CC0D37"/>
    <w:rPr>
      <w:rFonts w:ascii="Arial" w:eastAsiaTheme="majorEastAsia" w:hAnsi="Arial" w:cstheme="majorBidi"/>
      <w:bCs/>
      <w:color w:val="004B64" w:themeColor="accent2"/>
      <w:sz w:val="20"/>
      <w:lang w:val="en-GB"/>
    </w:rPr>
  </w:style>
  <w:style w:type="character" w:customStyle="1" w:styleId="Heading4Char">
    <w:name w:val="Heading 4 Char"/>
    <w:basedOn w:val="DefaultParagraphFont"/>
    <w:link w:val="Heading4"/>
    <w:uiPriority w:val="9"/>
    <w:rsid w:val="000A75D2"/>
    <w:rPr>
      <w:rFonts w:asciiTheme="majorHAnsi" w:eastAsiaTheme="majorEastAsia" w:hAnsiTheme="majorHAnsi" w:cstheme="majorBidi"/>
      <w:b/>
      <w:bCs/>
      <w:iCs/>
      <w:color w:val="004B64" w:themeColor="accent2"/>
      <w:sz w:val="20"/>
      <w:lang w:eastAsia="en-AU"/>
    </w:rPr>
  </w:style>
  <w:style w:type="character" w:customStyle="1" w:styleId="Heading5Char">
    <w:name w:val="Heading 5 Char"/>
    <w:aliases w:val="h5 Char"/>
    <w:basedOn w:val="DefaultParagraphFont"/>
    <w:link w:val="Heading5"/>
    <w:uiPriority w:val="9"/>
    <w:rsid w:val="003A35E3"/>
    <w:rPr>
      <w:rFonts w:asciiTheme="majorHAnsi" w:eastAsiaTheme="majorEastAsia" w:hAnsiTheme="majorHAnsi" w:cstheme="majorBidi"/>
      <w:color w:val="110F0F" w:themeColor="accent1" w:themeShade="7F"/>
      <w:lang w:eastAsia="en-AU"/>
    </w:rPr>
  </w:style>
  <w:style w:type="character" w:customStyle="1" w:styleId="Heading6Char">
    <w:name w:val="Heading 6 Char"/>
    <w:basedOn w:val="DefaultParagraphFont"/>
    <w:link w:val="Heading6"/>
    <w:uiPriority w:val="9"/>
    <w:rsid w:val="003A35E3"/>
    <w:rPr>
      <w:rFonts w:asciiTheme="majorHAnsi" w:eastAsiaTheme="majorEastAsia" w:hAnsiTheme="majorHAnsi" w:cstheme="majorBidi"/>
      <w:i/>
      <w:iCs/>
      <w:color w:val="110F0F" w:themeColor="accent1" w:themeShade="7F"/>
      <w:lang w:eastAsia="en-AU"/>
    </w:rPr>
  </w:style>
  <w:style w:type="character" w:customStyle="1" w:styleId="Heading7Char">
    <w:name w:val="Heading 7 Char"/>
    <w:basedOn w:val="DefaultParagraphFont"/>
    <w:link w:val="Heading7"/>
    <w:uiPriority w:val="9"/>
    <w:rsid w:val="003A35E3"/>
    <w:rPr>
      <w:rFonts w:asciiTheme="majorHAnsi" w:eastAsiaTheme="majorEastAsia" w:hAnsiTheme="majorHAnsi" w:cstheme="majorBidi"/>
      <w:i/>
      <w:iCs/>
      <w:color w:val="404040" w:themeColor="text1" w:themeTint="BF"/>
      <w:lang w:eastAsia="en-AU"/>
    </w:rPr>
  </w:style>
  <w:style w:type="character" w:customStyle="1" w:styleId="Heading8Char">
    <w:name w:val="Heading 8 Char"/>
    <w:basedOn w:val="DefaultParagraphFont"/>
    <w:link w:val="Heading8"/>
    <w:uiPriority w:val="9"/>
    <w:rsid w:val="003A35E3"/>
    <w:rPr>
      <w:rFonts w:asciiTheme="majorHAnsi" w:eastAsiaTheme="majorEastAsia" w:hAnsiTheme="majorHAnsi" w:cstheme="majorBidi"/>
      <w:color w:val="231F20" w:themeColor="accent1"/>
      <w:sz w:val="20"/>
      <w:szCs w:val="20"/>
      <w:lang w:eastAsia="en-AU"/>
    </w:rPr>
  </w:style>
  <w:style w:type="character" w:customStyle="1" w:styleId="Heading9Char">
    <w:name w:val="Heading 9 Char"/>
    <w:basedOn w:val="DefaultParagraphFont"/>
    <w:link w:val="Heading9"/>
    <w:uiPriority w:val="9"/>
    <w:rsid w:val="003A35E3"/>
    <w:rPr>
      <w:rFonts w:asciiTheme="majorHAnsi" w:eastAsiaTheme="majorEastAsia" w:hAnsiTheme="majorHAnsi" w:cstheme="majorBidi"/>
      <w:i/>
      <w:iCs/>
      <w:color w:val="404040" w:themeColor="text1" w:themeTint="BF"/>
      <w:sz w:val="20"/>
      <w:szCs w:val="20"/>
      <w:lang w:eastAsia="en-AU"/>
    </w:rPr>
  </w:style>
  <w:style w:type="paragraph" w:customStyle="1" w:styleId="Default">
    <w:name w:val="Default"/>
    <w:rsid w:val="003D6597"/>
    <w:pPr>
      <w:autoSpaceDE w:val="0"/>
      <w:autoSpaceDN w:val="0"/>
      <w:adjustRightInd w:val="0"/>
      <w:spacing w:after="0"/>
      <w:jc w:val="left"/>
    </w:pPr>
    <w:rPr>
      <w:rFonts w:ascii="Times New Roman" w:hAnsi="Times New Roman" w:cs="Times New Roman"/>
      <w:color w:val="000000"/>
      <w:sz w:val="24"/>
      <w:szCs w:val="24"/>
    </w:rPr>
  </w:style>
  <w:style w:type="table" w:styleId="TableGrid">
    <w:name w:val="Table Grid"/>
    <w:aliases w:val="Plain Table"/>
    <w:basedOn w:val="TableNormal"/>
    <w:uiPriority w:val="39"/>
    <w:rsid w:val="003D65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74781"/>
    <w:rPr>
      <w:rFonts w:ascii="Arial" w:hAnsi="Arial"/>
      <w:b w:val="0"/>
      <w:color w:val="595959" w:themeColor="text1" w:themeTint="A6"/>
      <w:sz w:val="20"/>
      <w:u w:val="single"/>
    </w:rPr>
  </w:style>
  <w:style w:type="paragraph" w:styleId="BodyText">
    <w:name w:val="Body Text"/>
    <w:basedOn w:val="Normal"/>
    <w:link w:val="BodyTextChar"/>
    <w:unhideWhenUsed/>
    <w:qFormat/>
    <w:rsid w:val="006F6B65"/>
    <w:pPr>
      <w:spacing w:before="120" w:after="40" w:line="276" w:lineRule="auto"/>
      <w:jc w:val="left"/>
    </w:pPr>
    <w:rPr>
      <w:sz w:val="20"/>
    </w:rPr>
  </w:style>
  <w:style w:type="character" w:customStyle="1" w:styleId="BodyTextChar">
    <w:name w:val="Body Text Char"/>
    <w:basedOn w:val="DefaultParagraphFont"/>
    <w:link w:val="BodyText"/>
    <w:rsid w:val="006F6B65"/>
    <w:rPr>
      <w:sz w:val="20"/>
    </w:rPr>
  </w:style>
  <w:style w:type="paragraph" w:styleId="Header">
    <w:name w:val="header"/>
    <w:basedOn w:val="Normal"/>
    <w:link w:val="HeaderChar"/>
    <w:uiPriority w:val="99"/>
    <w:unhideWhenUsed/>
    <w:rsid w:val="00317DD3"/>
    <w:pPr>
      <w:tabs>
        <w:tab w:val="center" w:pos="4513"/>
        <w:tab w:val="right" w:pos="9026"/>
      </w:tabs>
      <w:spacing w:after="0"/>
    </w:pPr>
  </w:style>
  <w:style w:type="character" w:customStyle="1" w:styleId="HeaderChar">
    <w:name w:val="Header Char"/>
    <w:basedOn w:val="DefaultParagraphFont"/>
    <w:link w:val="Header"/>
    <w:uiPriority w:val="99"/>
    <w:rsid w:val="00317DD3"/>
  </w:style>
  <w:style w:type="paragraph" w:styleId="Footer">
    <w:name w:val="footer"/>
    <w:link w:val="FooterChar"/>
    <w:uiPriority w:val="99"/>
    <w:unhideWhenUsed/>
    <w:rsid w:val="00D547C2"/>
    <w:pPr>
      <w:tabs>
        <w:tab w:val="center" w:pos="4513"/>
        <w:tab w:val="right" w:pos="9026"/>
      </w:tabs>
      <w:spacing w:after="0"/>
      <w:ind w:left="227" w:hanging="227"/>
    </w:pPr>
    <w:rPr>
      <w:sz w:val="16"/>
    </w:rPr>
  </w:style>
  <w:style w:type="character" w:customStyle="1" w:styleId="FooterChar">
    <w:name w:val="Footer Char"/>
    <w:basedOn w:val="DefaultParagraphFont"/>
    <w:link w:val="Footer"/>
    <w:uiPriority w:val="99"/>
    <w:rsid w:val="00D547C2"/>
    <w:rPr>
      <w:sz w:val="16"/>
    </w:rPr>
  </w:style>
  <w:style w:type="paragraph" w:styleId="Title">
    <w:name w:val="Title"/>
    <w:basedOn w:val="Normal"/>
    <w:next w:val="Normal"/>
    <w:link w:val="TitleChar"/>
    <w:rsid w:val="00CC0D37"/>
    <w:pPr>
      <w:spacing w:before="2000" w:after="300"/>
      <w:jc w:val="left"/>
    </w:pPr>
    <w:rPr>
      <w:rFonts w:asciiTheme="majorHAnsi" w:eastAsiaTheme="majorEastAsia" w:hAnsiTheme="majorHAnsi" w:cstheme="majorBidi"/>
      <w:color w:val="004B64" w:themeColor="accent2"/>
      <w:spacing w:val="5"/>
      <w:kern w:val="28"/>
      <w:sz w:val="56"/>
      <w:szCs w:val="52"/>
    </w:rPr>
  </w:style>
  <w:style w:type="character" w:customStyle="1" w:styleId="TitleChar">
    <w:name w:val="Title Char"/>
    <w:basedOn w:val="DefaultParagraphFont"/>
    <w:link w:val="Title"/>
    <w:rsid w:val="00CC0D37"/>
    <w:rPr>
      <w:rFonts w:asciiTheme="majorHAnsi" w:eastAsiaTheme="majorEastAsia" w:hAnsiTheme="majorHAnsi" w:cstheme="majorBidi"/>
      <w:color w:val="004B64" w:themeColor="accent2"/>
      <w:spacing w:val="5"/>
      <w:kern w:val="28"/>
      <w:sz w:val="56"/>
      <w:szCs w:val="52"/>
    </w:rPr>
  </w:style>
  <w:style w:type="character" w:styleId="CommentReference">
    <w:name w:val="annotation reference"/>
    <w:basedOn w:val="DefaultParagraphFont"/>
    <w:uiPriority w:val="99"/>
    <w:unhideWhenUsed/>
    <w:rsid w:val="006B39A2"/>
    <w:rPr>
      <w:sz w:val="16"/>
      <w:szCs w:val="16"/>
    </w:rPr>
  </w:style>
  <w:style w:type="paragraph" w:styleId="CommentText">
    <w:name w:val="annotation text"/>
    <w:basedOn w:val="Normal"/>
    <w:link w:val="CommentTextChar"/>
    <w:uiPriority w:val="99"/>
    <w:unhideWhenUsed/>
    <w:rsid w:val="006B39A2"/>
    <w:rPr>
      <w:sz w:val="20"/>
      <w:szCs w:val="20"/>
    </w:rPr>
  </w:style>
  <w:style w:type="character" w:customStyle="1" w:styleId="CommentTextChar">
    <w:name w:val="Comment Text Char"/>
    <w:basedOn w:val="DefaultParagraphFont"/>
    <w:link w:val="CommentText"/>
    <w:uiPriority w:val="99"/>
    <w:rsid w:val="006B39A2"/>
    <w:rPr>
      <w:sz w:val="20"/>
      <w:szCs w:val="20"/>
    </w:rPr>
  </w:style>
  <w:style w:type="paragraph" w:styleId="CommentSubject">
    <w:name w:val="annotation subject"/>
    <w:basedOn w:val="CommentText"/>
    <w:next w:val="CommentText"/>
    <w:link w:val="CommentSubjectChar"/>
    <w:uiPriority w:val="99"/>
    <w:unhideWhenUsed/>
    <w:rsid w:val="006B39A2"/>
    <w:rPr>
      <w:b/>
      <w:bCs/>
    </w:rPr>
  </w:style>
  <w:style w:type="character" w:customStyle="1" w:styleId="CommentSubjectChar">
    <w:name w:val="Comment Subject Char"/>
    <w:basedOn w:val="CommentTextChar"/>
    <w:link w:val="CommentSubject"/>
    <w:uiPriority w:val="99"/>
    <w:rsid w:val="006B39A2"/>
    <w:rPr>
      <w:b/>
      <w:bCs/>
      <w:sz w:val="20"/>
      <w:szCs w:val="20"/>
    </w:rPr>
  </w:style>
  <w:style w:type="character" w:styleId="FollowedHyperlink">
    <w:name w:val="FollowedHyperlink"/>
    <w:basedOn w:val="DefaultParagraphFont"/>
    <w:uiPriority w:val="99"/>
    <w:semiHidden/>
    <w:unhideWhenUsed/>
    <w:rsid w:val="00DF6F19"/>
    <w:rPr>
      <w:color w:val="954F72" w:themeColor="followedHyperlink"/>
      <w:u w:val="single"/>
    </w:rPr>
  </w:style>
  <w:style w:type="paragraph" w:styleId="Revision">
    <w:name w:val="Revision"/>
    <w:hidden/>
    <w:uiPriority w:val="99"/>
    <w:semiHidden/>
    <w:rsid w:val="007B1EF8"/>
    <w:pPr>
      <w:spacing w:after="0"/>
      <w:jc w:val="left"/>
    </w:pPr>
  </w:style>
  <w:style w:type="paragraph" w:styleId="NormalWeb">
    <w:name w:val="Normal (Web)"/>
    <w:basedOn w:val="Normal"/>
    <w:uiPriority w:val="99"/>
    <w:unhideWhenUsed/>
    <w:rsid w:val="00AA2F9D"/>
    <w:pPr>
      <w:spacing w:before="100" w:beforeAutospacing="1" w:after="100" w:afterAutospacing="1"/>
      <w:jc w:val="left"/>
    </w:pPr>
    <w:rPr>
      <w:rFonts w:ascii="Times New Roman" w:eastAsia="Times New Roman" w:hAnsi="Times New Roman" w:cs="Times New Roman"/>
      <w:sz w:val="24"/>
      <w:szCs w:val="24"/>
      <w:lang w:eastAsia="en-AU"/>
    </w:rPr>
  </w:style>
  <w:style w:type="paragraph" w:styleId="Caption">
    <w:name w:val="caption"/>
    <w:basedOn w:val="Normal"/>
    <w:next w:val="Normal"/>
    <w:uiPriority w:val="35"/>
    <w:unhideWhenUsed/>
    <w:qFormat/>
    <w:rsid w:val="00093D22"/>
    <w:pPr>
      <w:keepNext/>
      <w:spacing w:before="240" w:after="120"/>
      <w:ind w:left="851" w:hanging="851"/>
      <w:jc w:val="left"/>
    </w:pPr>
    <w:rPr>
      <w:rFonts w:asciiTheme="majorHAnsi" w:hAnsiTheme="majorHAnsi"/>
      <w:b/>
      <w:iCs/>
      <w:color w:val="404040" w:themeColor="text1" w:themeTint="BF"/>
      <w:sz w:val="16"/>
      <w:szCs w:val="18"/>
    </w:rPr>
  </w:style>
  <w:style w:type="paragraph" w:customStyle="1" w:styleId="TableText">
    <w:name w:val="Table Text"/>
    <w:basedOn w:val="Normal"/>
    <w:link w:val="TableTextChar"/>
    <w:qFormat/>
    <w:rsid w:val="008C0AC4"/>
    <w:pPr>
      <w:spacing w:after="0"/>
      <w:jc w:val="left"/>
    </w:pPr>
    <w:rPr>
      <w:rFonts w:ascii="Arial" w:hAnsi="Arial" w:cs="Helvetica"/>
      <w:color w:val="404040" w:themeColor="text1" w:themeTint="BF"/>
      <w:sz w:val="16"/>
      <w:szCs w:val="20"/>
    </w:rPr>
  </w:style>
  <w:style w:type="character" w:customStyle="1" w:styleId="TableTextChar">
    <w:name w:val="Table Text Char"/>
    <w:link w:val="TableText"/>
    <w:locked/>
    <w:rsid w:val="00C1034C"/>
    <w:rPr>
      <w:rFonts w:ascii="Arial" w:hAnsi="Arial" w:cs="Helvetica"/>
      <w:color w:val="404040" w:themeColor="text1" w:themeTint="BF"/>
      <w:sz w:val="16"/>
      <w:szCs w:val="20"/>
    </w:rPr>
  </w:style>
  <w:style w:type="paragraph" w:styleId="ListBullet">
    <w:name w:val="List Bullet"/>
    <w:basedOn w:val="Normal"/>
    <w:uiPriority w:val="99"/>
    <w:unhideWhenUsed/>
    <w:qFormat/>
    <w:rsid w:val="001C600B"/>
    <w:pPr>
      <w:numPr>
        <w:numId w:val="1"/>
      </w:numPr>
      <w:spacing w:after="240" w:line="276" w:lineRule="auto"/>
      <w:contextualSpacing/>
      <w:jc w:val="left"/>
    </w:pPr>
    <w:rPr>
      <w:rFonts w:ascii="Arial" w:hAnsi="Arial"/>
      <w:sz w:val="20"/>
    </w:rPr>
  </w:style>
  <w:style w:type="paragraph" w:styleId="TOC1">
    <w:name w:val="toc 1"/>
    <w:basedOn w:val="Normal"/>
    <w:next w:val="Normal"/>
    <w:uiPriority w:val="39"/>
    <w:unhideWhenUsed/>
    <w:rsid w:val="008A1214"/>
    <w:pPr>
      <w:tabs>
        <w:tab w:val="left" w:pos="1134"/>
        <w:tab w:val="right" w:leader="dot" w:pos="9639"/>
      </w:tabs>
      <w:spacing w:before="240" w:after="40"/>
      <w:ind w:left="567" w:hanging="567"/>
      <w:jc w:val="left"/>
    </w:pPr>
    <w:rPr>
      <w:rFonts w:ascii="Arial" w:hAnsi="Arial"/>
      <w:b/>
      <w:noProof/>
      <w:color w:val="000000" w:themeColor="text1"/>
      <w:sz w:val="20"/>
    </w:rPr>
  </w:style>
  <w:style w:type="paragraph" w:styleId="TOC2">
    <w:name w:val="toc 2"/>
    <w:basedOn w:val="Normal"/>
    <w:next w:val="Normal"/>
    <w:uiPriority w:val="39"/>
    <w:unhideWhenUsed/>
    <w:rsid w:val="008A1214"/>
    <w:pPr>
      <w:tabs>
        <w:tab w:val="right" w:leader="dot" w:pos="9639"/>
      </w:tabs>
      <w:spacing w:after="80"/>
      <w:ind w:left="567" w:hanging="567"/>
      <w:jc w:val="left"/>
    </w:pPr>
    <w:rPr>
      <w:rFonts w:ascii="Arial" w:hAnsi="Arial"/>
      <w:noProof/>
      <w:color w:val="000000" w:themeColor="text1"/>
      <w:sz w:val="20"/>
    </w:rPr>
  </w:style>
  <w:style w:type="paragraph" w:styleId="TableofFigures">
    <w:name w:val="table of figures"/>
    <w:basedOn w:val="Normal"/>
    <w:next w:val="Normal"/>
    <w:uiPriority w:val="99"/>
    <w:unhideWhenUsed/>
    <w:rsid w:val="008A1214"/>
    <w:pPr>
      <w:tabs>
        <w:tab w:val="right" w:leader="dot" w:pos="9639"/>
      </w:tabs>
      <w:spacing w:after="120"/>
      <w:ind w:left="1134" w:hanging="1134"/>
      <w:jc w:val="left"/>
    </w:pPr>
    <w:rPr>
      <w:sz w:val="20"/>
    </w:rPr>
  </w:style>
  <w:style w:type="table" w:styleId="LightShading-Accent1">
    <w:name w:val="Light Shading Accent 1"/>
    <w:basedOn w:val="TableNormal"/>
    <w:uiPriority w:val="60"/>
    <w:rsid w:val="005D435B"/>
    <w:pPr>
      <w:spacing w:after="0"/>
      <w:jc w:val="left"/>
    </w:pPr>
    <w:rPr>
      <w:color w:val="1A1717" w:themeColor="accent1" w:themeShade="BF"/>
    </w:rPr>
    <w:tblPr>
      <w:tblStyleRowBandSize w:val="1"/>
      <w:tblStyleColBandSize w:val="1"/>
      <w:tblBorders>
        <w:top w:val="single" w:sz="8" w:space="0" w:color="231F20" w:themeColor="accent1"/>
        <w:bottom w:val="single" w:sz="8" w:space="0" w:color="231F20" w:themeColor="accent1"/>
      </w:tblBorders>
    </w:tblPr>
    <w:tblStylePr w:type="fir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la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accent1" w:themeFillTint="3F"/>
      </w:tcPr>
    </w:tblStylePr>
    <w:tblStylePr w:type="band1Horz">
      <w:tblPr/>
      <w:tcPr>
        <w:tcBorders>
          <w:left w:val="nil"/>
          <w:right w:val="nil"/>
          <w:insideH w:val="nil"/>
          <w:insideV w:val="nil"/>
        </w:tcBorders>
        <w:shd w:val="clear" w:color="auto" w:fill="CBC4C6" w:themeFill="accent1" w:themeFillTint="3F"/>
      </w:tcPr>
    </w:tblStylePr>
  </w:style>
  <w:style w:type="table" w:styleId="MediumShading2">
    <w:name w:val="Medium Shading 2"/>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accent1"/>
      </w:tcPr>
    </w:tblStylePr>
    <w:tblStylePr w:type="lastCol">
      <w:rPr>
        <w:b/>
        <w:bCs/>
        <w:color w:val="FFFFFF" w:themeColor="background1"/>
      </w:rPr>
      <w:tblPr/>
      <w:tcPr>
        <w:tcBorders>
          <w:left w:val="nil"/>
          <w:right w:val="nil"/>
          <w:insideH w:val="nil"/>
          <w:insideV w:val="nil"/>
        </w:tcBorders>
        <w:shd w:val="clear" w:color="auto" w:fill="231F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5D435B"/>
    <w:pPr>
      <w:spacing w:after="0"/>
      <w:jc w:val="left"/>
    </w:pPr>
    <w:tblPr>
      <w:tblStyleRowBandSize w:val="1"/>
      <w:tblStyleColBandSize w:val="1"/>
      <w:tbl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single" w:sz="8" w:space="0" w:color="0042C7" w:themeColor="accent6" w:themeTint="BF"/>
      </w:tblBorders>
    </w:tblPr>
    <w:tblStylePr w:type="firstRow">
      <w:pPr>
        <w:spacing w:before="0" w:after="0" w:line="240" w:lineRule="auto"/>
      </w:pPr>
      <w:rPr>
        <w:b/>
        <w:bCs/>
        <w:color w:val="FFFFFF" w:themeColor="background1"/>
      </w:rPr>
      <w:tblPr/>
      <w:tcPr>
        <w:tc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shd w:val="clear" w:color="auto" w:fill="002060" w:themeFill="accent6"/>
      </w:tcPr>
    </w:tblStylePr>
    <w:tblStylePr w:type="lastRow">
      <w:pPr>
        <w:spacing w:before="0" w:after="0" w:line="240" w:lineRule="auto"/>
      </w:pPr>
      <w:rPr>
        <w:b/>
        <w:bCs/>
      </w:rPr>
      <w:tblPr/>
      <w:tcPr>
        <w:tcBorders>
          <w:top w:val="double" w:sz="6"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98BAFF" w:themeFill="accent6" w:themeFillTint="3F"/>
      </w:tcPr>
    </w:tblStylePr>
    <w:tblStylePr w:type="band1Horz">
      <w:tblPr/>
      <w:tcPr>
        <w:tcBorders>
          <w:insideH w:val="nil"/>
          <w:insideV w:val="nil"/>
        </w:tcBorders>
        <w:shd w:val="clear" w:color="auto" w:fill="98BAFF" w:themeFill="accent6"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5D435B"/>
    <w:pPr>
      <w:spacing w:after="0"/>
      <w:jc w:val="left"/>
    </w:pPr>
    <w:tblPr>
      <w:tblStyleRowBandSize w:val="1"/>
      <w:tblStyleColBandSize w:val="1"/>
      <w:tblBorders>
        <w:top w:val="single" w:sz="8" w:space="0" w:color="231F20" w:themeColor="accent1"/>
        <w:left w:val="single" w:sz="8" w:space="0" w:color="231F20" w:themeColor="accent1"/>
        <w:bottom w:val="single" w:sz="8" w:space="0" w:color="231F20" w:themeColor="accent1"/>
        <w:right w:val="single" w:sz="8" w:space="0" w:color="231F20" w:themeColor="accent1"/>
      </w:tblBorders>
    </w:tblPr>
    <w:tblStylePr w:type="firstRow">
      <w:pPr>
        <w:spacing w:before="0" w:after="0" w:line="240" w:lineRule="auto"/>
      </w:pPr>
      <w:rPr>
        <w:b/>
        <w:bCs/>
        <w:color w:val="FFFFFF" w:themeColor="background1"/>
      </w:rPr>
      <w:tblPr/>
      <w:tcPr>
        <w:shd w:val="clear" w:color="auto" w:fill="231F20" w:themeFill="accent1"/>
      </w:tcPr>
    </w:tblStylePr>
    <w:tblStylePr w:type="lastRow">
      <w:pPr>
        <w:spacing w:before="0" w:after="0" w:line="240" w:lineRule="auto"/>
      </w:pPr>
      <w:rPr>
        <w:b/>
        <w:bCs/>
      </w:rPr>
      <w:tblPr/>
      <w:tcPr>
        <w:tcBorders>
          <w:top w:val="double" w:sz="6" w:space="0" w:color="231F20" w:themeColor="accent1"/>
          <w:left w:val="single" w:sz="8" w:space="0" w:color="231F20" w:themeColor="accent1"/>
          <w:bottom w:val="single" w:sz="8" w:space="0" w:color="231F20" w:themeColor="accent1"/>
          <w:right w:val="single" w:sz="8" w:space="0" w:color="231F20" w:themeColor="accent1"/>
        </w:tcBorders>
      </w:tcPr>
    </w:tblStylePr>
    <w:tblStylePr w:type="firstCol">
      <w:rPr>
        <w:b/>
        <w:bCs/>
      </w:rPr>
    </w:tblStylePr>
    <w:tblStylePr w:type="lastCol">
      <w:rPr>
        <w:b/>
        <w:bCs/>
      </w:rPr>
    </w:tblStylePr>
    <w:tblStylePr w:type="band1Vert">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tblStylePr w:type="band1Horz">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style>
  <w:style w:type="table" w:styleId="ColorfulGrid-Accent1">
    <w:name w:val="Colorful Grid Accent 1"/>
    <w:basedOn w:val="TableNormal"/>
    <w:uiPriority w:val="73"/>
    <w:rsid w:val="005D435B"/>
    <w:pPr>
      <w:spacing w:after="0"/>
      <w:jc w:val="left"/>
    </w:pPr>
    <w:rPr>
      <w:color w:val="000000" w:themeColor="text1"/>
    </w:rPr>
    <w:tblPr>
      <w:tblStyleRowBandSize w:val="1"/>
      <w:tblStyleColBandSize w:val="1"/>
      <w:tblBorders>
        <w:insideH w:val="single" w:sz="4" w:space="0" w:color="FFFFFF" w:themeColor="background1"/>
      </w:tblBorders>
    </w:tblPr>
    <w:tcPr>
      <w:shd w:val="clear" w:color="auto" w:fill="D5CFD1" w:themeFill="accent1" w:themeFillTint="33"/>
    </w:tcPr>
    <w:tblStylePr w:type="firstRow">
      <w:rPr>
        <w:b/>
        <w:bCs/>
      </w:rPr>
      <w:tblPr/>
      <w:tcPr>
        <w:shd w:val="clear" w:color="auto" w:fill="ABA0A3" w:themeFill="accent1" w:themeFillTint="66"/>
      </w:tcPr>
    </w:tblStylePr>
    <w:tblStylePr w:type="lastRow">
      <w:rPr>
        <w:b/>
        <w:bCs/>
        <w:color w:val="000000" w:themeColor="text1"/>
      </w:rPr>
      <w:tblPr/>
      <w:tcPr>
        <w:shd w:val="clear" w:color="auto" w:fill="ABA0A3" w:themeFill="accent1" w:themeFillTint="66"/>
      </w:tcPr>
    </w:tblStylePr>
    <w:tblStylePr w:type="firstCol">
      <w:rPr>
        <w:color w:val="FFFFFF" w:themeColor="background1"/>
      </w:rPr>
      <w:tblPr/>
      <w:tcPr>
        <w:shd w:val="clear" w:color="auto" w:fill="1A1717" w:themeFill="accent1" w:themeFillShade="BF"/>
      </w:tcPr>
    </w:tblStylePr>
    <w:tblStylePr w:type="lastCol">
      <w:rPr>
        <w:color w:val="FFFFFF" w:themeColor="background1"/>
      </w:rPr>
      <w:tblPr/>
      <w:tcPr>
        <w:shd w:val="clear" w:color="auto" w:fill="1A1717" w:themeFill="accent1" w:themeFillShade="BF"/>
      </w:tcPr>
    </w:tblStylePr>
    <w:tblStylePr w:type="band1Vert">
      <w:tblPr/>
      <w:tcPr>
        <w:shd w:val="clear" w:color="auto" w:fill="97898C" w:themeFill="accent1" w:themeFillTint="7F"/>
      </w:tcPr>
    </w:tblStylePr>
    <w:tblStylePr w:type="band1Horz">
      <w:tblPr/>
      <w:tcPr>
        <w:shd w:val="clear" w:color="auto" w:fill="97898C" w:themeFill="accent1" w:themeFillTint="7F"/>
      </w:tcPr>
    </w:tblStylePr>
  </w:style>
  <w:style w:type="paragraph" w:styleId="TOC3">
    <w:name w:val="toc 3"/>
    <w:basedOn w:val="Normal"/>
    <w:next w:val="Normal"/>
    <w:autoRedefine/>
    <w:uiPriority w:val="39"/>
    <w:unhideWhenUsed/>
    <w:rsid w:val="005D435B"/>
    <w:pPr>
      <w:spacing w:after="100" w:line="276" w:lineRule="auto"/>
      <w:ind w:left="440"/>
      <w:jc w:val="left"/>
    </w:pPr>
    <w:rPr>
      <w:lang w:val="en-GB"/>
    </w:rPr>
  </w:style>
  <w:style w:type="paragraph" w:customStyle="1" w:styleId="source">
    <w:name w:val="source"/>
    <w:basedOn w:val="BodyText"/>
    <w:rsid w:val="005D435B"/>
    <w:pPr>
      <w:spacing w:after="360"/>
    </w:pPr>
    <w:rPr>
      <w:i/>
      <w:sz w:val="16"/>
      <w:szCs w:val="16"/>
    </w:rPr>
  </w:style>
  <w:style w:type="table" w:styleId="TableGridLight">
    <w:name w:val="Grid Table Light"/>
    <w:basedOn w:val="TableNormal"/>
    <w:uiPriority w:val="40"/>
    <w:rsid w:val="005D435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body">
    <w:name w:val="case study body"/>
    <w:basedOn w:val="TableText"/>
    <w:rsid w:val="005D435B"/>
    <w:pPr>
      <w:spacing w:after="120" w:line="360" w:lineRule="auto"/>
    </w:pPr>
  </w:style>
  <w:style w:type="paragraph" w:customStyle="1" w:styleId="tablebullet">
    <w:name w:val="table bullet"/>
    <w:basedOn w:val="TableText"/>
    <w:qFormat/>
    <w:rsid w:val="00D523EE"/>
    <w:pPr>
      <w:numPr>
        <w:numId w:val="2"/>
      </w:numPr>
    </w:pPr>
    <w:rPr>
      <w:color w:val="auto"/>
    </w:rPr>
  </w:style>
  <w:style w:type="paragraph" w:customStyle="1" w:styleId="tabletext0">
    <w:name w:val="table text"/>
    <w:basedOn w:val="BodyText"/>
    <w:rsid w:val="008C0AC4"/>
    <w:pPr>
      <w:spacing w:after="0" w:line="240" w:lineRule="auto"/>
    </w:pPr>
    <w:rPr>
      <w:rFonts w:eastAsiaTheme="minorEastAsia"/>
      <w:sz w:val="16"/>
      <w:szCs w:val="16"/>
      <w:lang w:eastAsia="en-AU"/>
    </w:rPr>
  </w:style>
  <w:style w:type="character" w:styleId="PageNumber">
    <w:name w:val="page number"/>
    <w:basedOn w:val="DefaultParagraphFont"/>
    <w:uiPriority w:val="99"/>
    <w:rsid w:val="003A35E3"/>
  </w:style>
  <w:style w:type="table" w:customStyle="1" w:styleId="TableGrid1">
    <w:name w:val="Table Grid1"/>
    <w:basedOn w:val="TableNormal"/>
    <w:next w:val="TableGrid"/>
    <w:uiPriority w:val="59"/>
    <w:rsid w:val="003A35E3"/>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1">
    <w:name w:val="Balloon Text Char11"/>
    <w:basedOn w:val="DefaultParagraphFont"/>
    <w:uiPriority w:val="99"/>
    <w:semiHidden/>
    <w:rsid w:val="003A35E3"/>
    <w:rPr>
      <w:rFonts w:ascii="Lucida Grande" w:hAnsi="Lucida Grande"/>
      <w:sz w:val="18"/>
      <w:szCs w:val="18"/>
    </w:rPr>
  </w:style>
  <w:style w:type="character" w:customStyle="1" w:styleId="BalloonTextChar7">
    <w:name w:val="Balloon Text Char7"/>
    <w:basedOn w:val="DefaultParagraphFont"/>
    <w:uiPriority w:val="99"/>
    <w:semiHidden/>
    <w:rsid w:val="003A35E3"/>
    <w:rPr>
      <w:rFonts w:ascii="Lucida Grande" w:hAnsi="Lucida Grande"/>
      <w:sz w:val="18"/>
      <w:szCs w:val="18"/>
    </w:rPr>
  </w:style>
  <w:style w:type="character" w:customStyle="1" w:styleId="BalloonTextChar4">
    <w:name w:val="Balloon Text Char4"/>
    <w:basedOn w:val="DefaultParagraphFont"/>
    <w:uiPriority w:val="99"/>
    <w:semiHidden/>
    <w:rsid w:val="003A35E3"/>
    <w:rPr>
      <w:rFonts w:ascii="Lucida Grande" w:hAnsi="Lucida Grande"/>
      <w:sz w:val="18"/>
      <w:szCs w:val="18"/>
    </w:rPr>
  </w:style>
  <w:style w:type="paragraph" w:styleId="NoSpacing">
    <w:name w:val="No Spacing"/>
    <w:link w:val="NoSpacingChar"/>
    <w:uiPriority w:val="1"/>
    <w:rsid w:val="003A35E3"/>
    <w:pPr>
      <w:spacing w:after="0"/>
      <w:jc w:val="left"/>
    </w:pPr>
    <w:rPr>
      <w:rFonts w:eastAsiaTheme="minorEastAsia"/>
      <w:lang w:eastAsia="en-AU"/>
    </w:rPr>
  </w:style>
  <w:style w:type="character" w:customStyle="1" w:styleId="NoSpacingChar">
    <w:name w:val="No Spacing Char"/>
    <w:basedOn w:val="DefaultParagraphFont"/>
    <w:link w:val="NoSpacing"/>
    <w:uiPriority w:val="1"/>
    <w:rsid w:val="003A35E3"/>
    <w:rPr>
      <w:rFonts w:eastAsiaTheme="minorEastAsia"/>
      <w:lang w:eastAsia="en-AU"/>
    </w:rPr>
  </w:style>
  <w:style w:type="paragraph" w:styleId="Quote">
    <w:name w:val="Quote"/>
    <w:basedOn w:val="Normal"/>
    <w:next w:val="Normal"/>
    <w:link w:val="QuoteChar"/>
    <w:uiPriority w:val="29"/>
    <w:rsid w:val="003A35E3"/>
    <w:pPr>
      <w:spacing w:line="276" w:lineRule="auto"/>
      <w:jc w:val="left"/>
    </w:pPr>
    <w:rPr>
      <w:rFonts w:eastAsiaTheme="minorEastAsia"/>
      <w:i/>
      <w:iCs/>
      <w:color w:val="000000" w:themeColor="text1"/>
      <w:lang w:eastAsia="en-AU"/>
    </w:rPr>
  </w:style>
  <w:style w:type="character" w:customStyle="1" w:styleId="QuoteChar">
    <w:name w:val="Quote Char"/>
    <w:basedOn w:val="DefaultParagraphFont"/>
    <w:link w:val="Quote"/>
    <w:uiPriority w:val="29"/>
    <w:rsid w:val="003A35E3"/>
    <w:rPr>
      <w:rFonts w:eastAsiaTheme="minorEastAsia"/>
      <w:i/>
      <w:iCs/>
      <w:color w:val="000000" w:themeColor="text1"/>
      <w:lang w:eastAsia="en-AU"/>
    </w:rPr>
  </w:style>
  <w:style w:type="paragraph" w:styleId="ListNumber2">
    <w:name w:val="List Number 2"/>
    <w:basedOn w:val="ListBullet"/>
    <w:rsid w:val="00E75551"/>
    <w:pPr>
      <w:numPr>
        <w:numId w:val="3"/>
      </w:numPr>
    </w:pPr>
  </w:style>
  <w:style w:type="paragraph" w:styleId="EndnoteText">
    <w:name w:val="endnote text"/>
    <w:basedOn w:val="Normal"/>
    <w:link w:val="EndnoteTextChar"/>
    <w:unhideWhenUsed/>
    <w:rsid w:val="003A35E3"/>
    <w:pPr>
      <w:spacing w:after="0"/>
      <w:jc w:val="left"/>
    </w:pPr>
    <w:rPr>
      <w:sz w:val="20"/>
      <w:szCs w:val="20"/>
    </w:rPr>
  </w:style>
  <w:style w:type="character" w:customStyle="1" w:styleId="EndnoteTextChar">
    <w:name w:val="Endnote Text Char"/>
    <w:basedOn w:val="DefaultParagraphFont"/>
    <w:link w:val="EndnoteText"/>
    <w:rsid w:val="003A35E3"/>
    <w:rPr>
      <w:sz w:val="20"/>
      <w:szCs w:val="20"/>
    </w:rPr>
  </w:style>
  <w:style w:type="character" w:styleId="EndnoteReference">
    <w:name w:val="endnote reference"/>
    <w:rsid w:val="003A35E3"/>
    <w:rPr>
      <w:vertAlign w:val="superscript"/>
    </w:rPr>
  </w:style>
  <w:style w:type="paragraph" w:styleId="TOC4">
    <w:name w:val="toc 4"/>
    <w:basedOn w:val="Normal"/>
    <w:next w:val="Normal"/>
    <w:autoRedefine/>
    <w:uiPriority w:val="39"/>
    <w:rsid w:val="003A35E3"/>
    <w:pPr>
      <w:spacing w:after="0" w:line="276" w:lineRule="auto"/>
      <w:ind w:left="440"/>
      <w:jc w:val="left"/>
    </w:pPr>
    <w:rPr>
      <w:rFonts w:eastAsiaTheme="minorEastAsia"/>
      <w:sz w:val="20"/>
      <w:szCs w:val="20"/>
      <w:lang w:eastAsia="en-AU"/>
    </w:rPr>
  </w:style>
  <w:style w:type="paragraph" w:styleId="TOC5">
    <w:name w:val="toc 5"/>
    <w:basedOn w:val="Normal"/>
    <w:next w:val="Normal"/>
    <w:autoRedefine/>
    <w:uiPriority w:val="39"/>
    <w:rsid w:val="003A35E3"/>
    <w:pPr>
      <w:spacing w:after="0" w:line="276" w:lineRule="auto"/>
      <w:ind w:left="660"/>
      <w:jc w:val="left"/>
    </w:pPr>
    <w:rPr>
      <w:rFonts w:eastAsiaTheme="minorEastAsia"/>
      <w:sz w:val="20"/>
      <w:szCs w:val="20"/>
      <w:lang w:eastAsia="en-AU"/>
    </w:rPr>
  </w:style>
  <w:style w:type="paragraph" w:styleId="TOC6">
    <w:name w:val="toc 6"/>
    <w:basedOn w:val="Normal"/>
    <w:next w:val="Normal"/>
    <w:autoRedefine/>
    <w:uiPriority w:val="39"/>
    <w:rsid w:val="003A35E3"/>
    <w:pPr>
      <w:spacing w:after="0" w:line="276" w:lineRule="auto"/>
      <w:ind w:left="880"/>
      <w:jc w:val="left"/>
    </w:pPr>
    <w:rPr>
      <w:rFonts w:eastAsiaTheme="minorEastAsia"/>
      <w:sz w:val="20"/>
      <w:szCs w:val="20"/>
      <w:lang w:eastAsia="en-AU"/>
    </w:rPr>
  </w:style>
  <w:style w:type="paragraph" w:styleId="TOC7">
    <w:name w:val="toc 7"/>
    <w:basedOn w:val="Normal"/>
    <w:next w:val="Normal"/>
    <w:autoRedefine/>
    <w:uiPriority w:val="39"/>
    <w:rsid w:val="003A35E3"/>
    <w:pPr>
      <w:spacing w:after="0" w:line="276" w:lineRule="auto"/>
      <w:ind w:left="1100"/>
      <w:jc w:val="left"/>
    </w:pPr>
    <w:rPr>
      <w:rFonts w:eastAsiaTheme="minorEastAsia"/>
      <w:sz w:val="20"/>
      <w:szCs w:val="20"/>
      <w:lang w:eastAsia="en-AU"/>
    </w:rPr>
  </w:style>
  <w:style w:type="paragraph" w:styleId="TOC8">
    <w:name w:val="toc 8"/>
    <w:basedOn w:val="Normal"/>
    <w:next w:val="Normal"/>
    <w:autoRedefine/>
    <w:uiPriority w:val="39"/>
    <w:rsid w:val="003A35E3"/>
    <w:pPr>
      <w:spacing w:after="0" w:line="276" w:lineRule="auto"/>
      <w:ind w:left="1320"/>
      <w:jc w:val="left"/>
    </w:pPr>
    <w:rPr>
      <w:rFonts w:eastAsiaTheme="minorEastAsia"/>
      <w:sz w:val="20"/>
      <w:szCs w:val="20"/>
      <w:lang w:eastAsia="en-AU"/>
    </w:rPr>
  </w:style>
  <w:style w:type="paragraph" w:styleId="TOC9">
    <w:name w:val="toc 9"/>
    <w:basedOn w:val="Normal"/>
    <w:next w:val="Normal"/>
    <w:autoRedefine/>
    <w:uiPriority w:val="39"/>
    <w:rsid w:val="003A35E3"/>
    <w:pPr>
      <w:spacing w:after="0" w:line="276" w:lineRule="auto"/>
      <w:ind w:left="1540"/>
      <w:jc w:val="left"/>
    </w:pPr>
    <w:rPr>
      <w:rFonts w:eastAsiaTheme="minorEastAsia"/>
      <w:sz w:val="20"/>
      <w:szCs w:val="20"/>
      <w:lang w:eastAsia="en-AU"/>
    </w:rPr>
  </w:style>
  <w:style w:type="table" w:customStyle="1" w:styleId="TableGrid2">
    <w:name w:val="Table Grid2"/>
    <w:basedOn w:val="TableNormal"/>
    <w:next w:val="TableGrid"/>
    <w:uiPriority w:val="59"/>
    <w:rsid w:val="003A35E3"/>
    <w:pPr>
      <w:spacing w:after="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125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25F"/>
    <w:rPr>
      <w:rFonts w:ascii="Segoe UI" w:hAnsi="Segoe UI" w:cs="Segoe UI"/>
      <w:sz w:val="18"/>
      <w:szCs w:val="18"/>
    </w:rPr>
  </w:style>
  <w:style w:type="paragraph" w:styleId="Subtitle">
    <w:name w:val="Subtitle"/>
    <w:basedOn w:val="Title"/>
    <w:next w:val="Normal"/>
    <w:link w:val="SubtitleChar"/>
    <w:uiPriority w:val="11"/>
    <w:rsid w:val="006029CD"/>
    <w:pPr>
      <w:spacing w:before="360" w:after="120"/>
    </w:pPr>
    <w:rPr>
      <w:sz w:val="32"/>
    </w:rPr>
  </w:style>
  <w:style w:type="character" w:customStyle="1" w:styleId="SubtitleChar">
    <w:name w:val="Subtitle Char"/>
    <w:basedOn w:val="DefaultParagraphFont"/>
    <w:link w:val="Subtitle"/>
    <w:uiPriority w:val="11"/>
    <w:rsid w:val="006029CD"/>
    <w:rPr>
      <w:rFonts w:asciiTheme="majorHAnsi" w:eastAsiaTheme="majorEastAsia" w:hAnsiTheme="majorHAnsi" w:cstheme="majorBidi"/>
      <w:color w:val="009F93"/>
      <w:spacing w:val="5"/>
      <w:kern w:val="28"/>
      <w:sz w:val="32"/>
      <w:szCs w:val="52"/>
    </w:rPr>
  </w:style>
  <w:style w:type="paragraph" w:styleId="ListParagraph">
    <w:name w:val="List Paragraph"/>
    <w:aliases w:val="List Paragraph1,Recommendation,List Paragraph11,Bullets,List Paragraph2,L,CV text,Table text,F5 List Paragraph,Dot pt,List Paragraph111,Medium Grid 1 - Accent 21,Numbered Paragraph,Bullet text,Bulleted Para,NFP GP Bulleted List,FooterText"/>
    <w:basedOn w:val="Normal"/>
    <w:link w:val="ListParagraphChar"/>
    <w:uiPriority w:val="34"/>
    <w:qFormat/>
    <w:rsid w:val="006029CD"/>
    <w:pPr>
      <w:spacing w:after="160" w:line="259" w:lineRule="auto"/>
      <w:ind w:left="720"/>
      <w:contextualSpacing/>
      <w:jc w:val="left"/>
    </w:pPr>
    <w:rPr>
      <w:lang w:val="en-US"/>
    </w:rPr>
  </w:style>
  <w:style w:type="character" w:customStyle="1" w:styleId="ListParagraphChar">
    <w:name w:val="List Paragraph Char"/>
    <w:aliases w:val="List Paragraph1 Char,Recommendation Char,List Paragraph11 Char,Bullets Char,List Paragraph2 Char,L Char,CV text Char,Table text Char,F5 List Paragraph Char,Dot pt Char,List Paragraph111 Char,Medium Grid 1 - Accent 21 Char"/>
    <w:basedOn w:val="DefaultParagraphFont"/>
    <w:link w:val="ListParagraph"/>
    <w:uiPriority w:val="34"/>
    <w:qFormat/>
    <w:locked/>
    <w:rsid w:val="007347D1"/>
    <w:rPr>
      <w:lang w:val="en-US"/>
    </w:rPr>
  </w:style>
  <w:style w:type="table" w:styleId="GridTable4-Accent3">
    <w:name w:val="Grid Table 4 Accent 3"/>
    <w:basedOn w:val="TableNormal"/>
    <w:uiPriority w:val="49"/>
    <w:rsid w:val="00E22B0F"/>
    <w:pPr>
      <w:spacing w:after="0"/>
      <w:jc w:val="left"/>
    </w:pPr>
    <w:tblPr>
      <w:tblStyleRowBandSize w:val="1"/>
      <w:tblStyleColBandSize w:val="1"/>
      <w:tblBorders>
        <w:top w:val="single" w:sz="4" w:space="0" w:color="A0DDE2" w:themeColor="accent3" w:themeTint="99"/>
        <w:left w:val="single" w:sz="4" w:space="0" w:color="A0DDE2" w:themeColor="accent3" w:themeTint="99"/>
        <w:bottom w:val="single" w:sz="4" w:space="0" w:color="A0DDE2" w:themeColor="accent3" w:themeTint="99"/>
        <w:right w:val="single" w:sz="4" w:space="0" w:color="A0DDE2" w:themeColor="accent3" w:themeTint="99"/>
        <w:insideH w:val="single" w:sz="4" w:space="0" w:color="A0DDE2" w:themeColor="accent3" w:themeTint="99"/>
        <w:insideV w:val="single" w:sz="4" w:space="0" w:color="A0DDE2" w:themeColor="accent3" w:themeTint="99"/>
      </w:tblBorders>
    </w:tblPr>
    <w:tblStylePr w:type="firstRow">
      <w:rPr>
        <w:b/>
        <w:bCs/>
        <w:color w:val="FFFFFF" w:themeColor="background1"/>
      </w:rPr>
      <w:tblPr/>
      <w:tcPr>
        <w:tcBorders>
          <w:top w:val="single" w:sz="4" w:space="0" w:color="62C8CF" w:themeColor="accent3"/>
          <w:left w:val="single" w:sz="4" w:space="0" w:color="62C8CF" w:themeColor="accent3"/>
          <w:bottom w:val="single" w:sz="4" w:space="0" w:color="62C8CF" w:themeColor="accent3"/>
          <w:right w:val="single" w:sz="4" w:space="0" w:color="62C8CF" w:themeColor="accent3"/>
          <w:insideH w:val="nil"/>
          <w:insideV w:val="nil"/>
        </w:tcBorders>
        <w:shd w:val="clear" w:color="auto" w:fill="62C8CF" w:themeFill="accent3"/>
      </w:tcPr>
    </w:tblStylePr>
    <w:tblStylePr w:type="lastRow">
      <w:rPr>
        <w:b/>
        <w:bCs/>
      </w:rPr>
      <w:tblPr/>
      <w:tcPr>
        <w:tcBorders>
          <w:top w:val="double" w:sz="4" w:space="0" w:color="62C8CF" w:themeColor="accent3"/>
        </w:tcBorders>
      </w:tcPr>
    </w:tblStylePr>
    <w:tblStylePr w:type="firstCol">
      <w:rPr>
        <w:b/>
        <w:bCs/>
      </w:rPr>
    </w:tblStylePr>
    <w:tblStylePr w:type="lastCol">
      <w:rPr>
        <w:b/>
        <w:bCs/>
      </w:rPr>
    </w:tblStylePr>
    <w:tblStylePr w:type="band1Vert">
      <w:tblPr/>
      <w:tcPr>
        <w:shd w:val="clear" w:color="auto" w:fill="DFF4F5" w:themeFill="accent3" w:themeFillTint="33"/>
      </w:tcPr>
    </w:tblStylePr>
    <w:tblStylePr w:type="band1Horz">
      <w:tblPr/>
      <w:tcPr>
        <w:shd w:val="clear" w:color="auto" w:fill="DFF4F5" w:themeFill="accent3" w:themeFillTint="33"/>
      </w:tcPr>
    </w:tblStylePr>
  </w:style>
  <w:style w:type="character" w:styleId="FootnoteReference">
    <w:name w:val="footnote reference"/>
    <w:aliases w:val="Normal + Font:9 Point,Superscript 3 Point Times,FnR-ANZDEC,ftref,(NECG) Footnote Reference,Fußnotenzeichen DISS,de nota al pie,Ref,fr,16 Point,Superscript 6 Point,Footnote Ref in FtNote,SUPERS,Footnote text,BVI fnr, BVI fnr Zchn Char"/>
    <w:basedOn w:val="DefaultParagraphFont"/>
    <w:link w:val="BVIfnrCharChar1"/>
    <w:uiPriority w:val="99"/>
    <w:unhideWhenUsed/>
    <w:qFormat/>
    <w:rsid w:val="00D547C2"/>
    <w:rPr>
      <w:vertAlign w:val="superscript"/>
    </w:rPr>
  </w:style>
  <w:style w:type="paragraph" w:styleId="TOCHeading">
    <w:name w:val="TOC Heading"/>
    <w:basedOn w:val="Heading1"/>
    <w:next w:val="Normal"/>
    <w:uiPriority w:val="39"/>
    <w:unhideWhenUsed/>
    <w:qFormat/>
    <w:rsid w:val="00CC0D37"/>
    <w:pPr>
      <w:numPr>
        <w:numId w:val="0"/>
      </w:numPr>
      <w:jc w:val="both"/>
      <w:outlineLvl w:val="9"/>
    </w:pPr>
    <w:rPr>
      <w:rFonts w:asciiTheme="majorHAnsi" w:hAnsiTheme="majorHAnsi"/>
    </w:rPr>
  </w:style>
  <w:style w:type="paragraph" w:customStyle="1" w:styleId="AnnexHeading">
    <w:name w:val="Annex Heading"/>
    <w:basedOn w:val="BodyText"/>
    <w:next w:val="BodyText"/>
    <w:uiPriority w:val="99"/>
    <w:rsid w:val="00085363"/>
    <w:pPr>
      <w:pageBreakBefore/>
      <w:numPr>
        <w:numId w:val="5"/>
      </w:numPr>
      <w:spacing w:after="240" w:line="240" w:lineRule="auto"/>
      <w:outlineLvl w:val="0"/>
    </w:pPr>
    <w:rPr>
      <w:color w:val="004B64" w:themeColor="accent2"/>
      <w:sz w:val="28"/>
    </w:rPr>
  </w:style>
  <w:style w:type="paragraph" w:customStyle="1" w:styleId="Question">
    <w:name w:val="Question"/>
    <w:basedOn w:val="BodyText"/>
    <w:rsid w:val="000C4234"/>
    <w:pPr>
      <w:keepNext/>
      <w:spacing w:before="360"/>
      <w:ind w:left="1701" w:hanging="1701"/>
    </w:pPr>
    <w:rPr>
      <w:b/>
    </w:rPr>
  </w:style>
  <w:style w:type="paragraph" w:customStyle="1" w:styleId="boxbullet">
    <w:name w:val="box bullet"/>
    <w:basedOn w:val="Normal"/>
    <w:rsid w:val="00CE4A4C"/>
    <w:pPr>
      <w:spacing w:after="60"/>
      <w:ind w:left="227" w:hanging="227"/>
      <w:jc w:val="left"/>
    </w:pPr>
    <w:rPr>
      <w:rFonts w:ascii="Arial" w:hAnsi="Arial" w:cs="Helvetica"/>
      <w:color w:val="62C8CF" w:themeColor="accent3"/>
      <w:sz w:val="16"/>
      <w:szCs w:val="20"/>
    </w:rPr>
  </w:style>
  <w:style w:type="paragraph" w:customStyle="1" w:styleId="boxheading">
    <w:name w:val="box heading"/>
    <w:basedOn w:val="Normal"/>
    <w:rsid w:val="00CE4A4C"/>
    <w:pPr>
      <w:spacing w:after="120" w:line="276" w:lineRule="auto"/>
      <w:jc w:val="left"/>
    </w:pPr>
    <w:rPr>
      <w:rFonts w:ascii="Arial" w:hAnsi="Arial" w:cs="Helvetica"/>
      <w:b/>
      <w:color w:val="62C8CF" w:themeColor="accent3"/>
      <w:sz w:val="16"/>
      <w:szCs w:val="20"/>
    </w:rPr>
  </w:style>
  <w:style w:type="paragraph" w:customStyle="1" w:styleId="crossheading">
    <w:name w:val="crossheading"/>
    <w:basedOn w:val="BodyText"/>
    <w:link w:val="crossheadingChar"/>
    <w:qFormat/>
    <w:rsid w:val="00574BCA"/>
    <w:pPr>
      <w:keepNext/>
      <w:spacing w:before="360"/>
    </w:pPr>
    <w:rPr>
      <w:b/>
      <w:color w:val="231F20" w:themeColor="accent1"/>
    </w:rPr>
  </w:style>
  <w:style w:type="character" w:customStyle="1" w:styleId="crossheadingChar">
    <w:name w:val="crossheading Char"/>
    <w:basedOn w:val="BodyTextChar"/>
    <w:link w:val="crossheading"/>
    <w:rsid w:val="00574BCA"/>
    <w:rPr>
      <w:rFonts w:ascii="Arial" w:hAnsi="Arial"/>
      <w:b/>
      <w:color w:val="231F20" w:themeColor="accent1"/>
      <w:sz w:val="20"/>
    </w:rPr>
  </w:style>
  <w:style w:type="table" w:styleId="GridTable4-Accent1">
    <w:name w:val="Grid Table 4 Accent 1"/>
    <w:basedOn w:val="TableNormal"/>
    <w:uiPriority w:val="49"/>
    <w:rsid w:val="006E16DE"/>
    <w:pPr>
      <w:spacing w:after="0"/>
    </w:pPr>
    <w:tblPr>
      <w:tblStyleRowBandSize w:val="1"/>
      <w:tblStyleColBandSize w:val="1"/>
      <w:tblBorders>
        <w:top w:val="single" w:sz="4" w:space="0" w:color="807276" w:themeColor="accent1" w:themeTint="99"/>
        <w:left w:val="single" w:sz="4" w:space="0" w:color="807276" w:themeColor="accent1" w:themeTint="99"/>
        <w:bottom w:val="single" w:sz="4" w:space="0" w:color="807276" w:themeColor="accent1" w:themeTint="99"/>
        <w:right w:val="single" w:sz="4" w:space="0" w:color="807276" w:themeColor="accent1" w:themeTint="99"/>
        <w:insideH w:val="single" w:sz="4" w:space="0" w:color="807276" w:themeColor="accent1" w:themeTint="99"/>
        <w:insideV w:val="single" w:sz="4" w:space="0" w:color="807276" w:themeColor="accent1" w:themeTint="99"/>
      </w:tblBorders>
    </w:tblPr>
    <w:tblStylePr w:type="firstRow">
      <w:rPr>
        <w:b/>
        <w:bCs/>
        <w:color w:val="FFFFFF" w:themeColor="background1"/>
      </w:rPr>
      <w:tblPr/>
      <w:tcPr>
        <w:tcBorders>
          <w:top w:val="single" w:sz="4" w:space="0" w:color="231F20" w:themeColor="accent1"/>
          <w:left w:val="single" w:sz="4" w:space="0" w:color="231F20" w:themeColor="accent1"/>
          <w:bottom w:val="single" w:sz="4" w:space="0" w:color="231F20" w:themeColor="accent1"/>
          <w:right w:val="single" w:sz="4" w:space="0" w:color="231F20" w:themeColor="accent1"/>
          <w:insideH w:val="nil"/>
          <w:insideV w:val="nil"/>
        </w:tcBorders>
        <w:shd w:val="clear" w:color="auto" w:fill="231F20" w:themeFill="accent1"/>
      </w:tcPr>
    </w:tblStylePr>
    <w:tblStylePr w:type="lastRow">
      <w:rPr>
        <w:b/>
        <w:bCs/>
      </w:rPr>
      <w:tblPr/>
      <w:tcPr>
        <w:tcBorders>
          <w:top w:val="double" w:sz="4" w:space="0" w:color="231F20" w:themeColor="accent1"/>
        </w:tcBorders>
      </w:tcPr>
    </w:tblStylePr>
    <w:tblStylePr w:type="firstCol">
      <w:rPr>
        <w:b/>
        <w:bCs/>
      </w:rPr>
    </w:tblStylePr>
    <w:tblStylePr w:type="lastCol">
      <w:rPr>
        <w:b/>
        <w:bCs/>
      </w:rPr>
    </w:tblStylePr>
    <w:tblStylePr w:type="band1Vert">
      <w:tblPr/>
      <w:tcPr>
        <w:shd w:val="clear" w:color="auto" w:fill="D5CFD1" w:themeFill="accent1" w:themeFillTint="33"/>
      </w:tcPr>
    </w:tblStylePr>
    <w:tblStylePr w:type="band1Horz">
      <w:tblPr/>
      <w:tcPr>
        <w:shd w:val="clear" w:color="auto" w:fill="D5CFD1" w:themeFill="accent1" w:themeFillTint="33"/>
      </w:tcPr>
    </w:tblStylePr>
  </w:style>
  <w:style w:type="paragraph" w:styleId="FootnoteText">
    <w:name w:val="footnote text"/>
    <w:aliases w:val="Footnote Text Char Char Char Char,Footnote Text Char Char,Footnote Text Char1,Char,Char Char Char Char,Char Char Char Char Char Char,ft,Footnote Text Char1 Char Char1,Footnote Text Char Char Char Char1,Footnote Text Char Char1 Char1,fn,f,A"/>
    <w:basedOn w:val="Normal"/>
    <w:link w:val="FootnoteTextChar"/>
    <w:uiPriority w:val="99"/>
    <w:unhideWhenUsed/>
    <w:qFormat/>
    <w:rsid w:val="00D547C2"/>
    <w:pPr>
      <w:spacing w:after="0"/>
      <w:ind w:left="284" w:hanging="284"/>
    </w:pPr>
    <w:rPr>
      <w:sz w:val="16"/>
      <w:szCs w:val="20"/>
    </w:rPr>
  </w:style>
  <w:style w:type="character" w:customStyle="1" w:styleId="FootnoteTextChar">
    <w:name w:val="Footnote Text Char"/>
    <w:aliases w:val="Footnote Text Char Char Char Char Char,Footnote Text Char Char Char,Footnote Text Char1 Char,Char Char,Char Char Char Char Char,Char Char Char Char Char Char Char,ft Char,Footnote Text Char1 Char Char1 Char,fn Char,f Char,A Char"/>
    <w:basedOn w:val="DefaultParagraphFont"/>
    <w:link w:val="FootnoteText"/>
    <w:uiPriority w:val="99"/>
    <w:qFormat/>
    <w:rsid w:val="00D547C2"/>
    <w:rPr>
      <w:sz w:val="16"/>
      <w:szCs w:val="20"/>
    </w:rPr>
  </w:style>
  <w:style w:type="table" w:styleId="PlainTable2">
    <w:name w:val="Plain Table 2"/>
    <w:basedOn w:val="TableNormal"/>
    <w:uiPriority w:val="42"/>
    <w:rsid w:val="0096383F"/>
    <w:pPr>
      <w:spacing w:after="0"/>
      <w:jc w:val="left"/>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tcMar>
        <w:top w:w="57" w:type="dxa"/>
        <w:bottom w:w="57" w:type="dxa"/>
      </w:tcMar>
    </w:tcPr>
    <w:tblStylePr w:type="firstRow">
      <w:pPr>
        <w:jc w:val="left"/>
      </w:pPr>
      <w:rPr>
        <w:b/>
        <w:bCs/>
        <w:color w:val="004B64" w:themeColor="accent2"/>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808080" w:themeColor="background1" w:themeShade="80"/>
          <w:bottom w:val="single" w:sz="4" w:space="0" w:color="808080" w:themeColor="background1" w:themeShade="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upeTableBorders">
    <w:name w:val="Taupe Table Borders"/>
    <w:basedOn w:val="TableNormal"/>
    <w:uiPriority w:val="99"/>
    <w:qFormat/>
    <w:rsid w:val="00820412"/>
    <w:pPr>
      <w:spacing w:after="0"/>
      <w:jc w:val="left"/>
    </w:pPr>
    <w:rPr>
      <w:rFonts w:eastAsia="Times New Roman" w:cs="Times New Roman"/>
      <w:sz w:val="20"/>
      <w:lang w:eastAsia="en-AU"/>
    </w:rPr>
    <w:tblPr>
      <w:tblStyleRowBandSize w:val="1"/>
      <w:tblStyleColBandSize w:val="1"/>
      <w:tblBorders>
        <w:top w:val="single" w:sz="4" w:space="0" w:color="62C8CF" w:themeColor="accent3"/>
        <w:left w:val="single" w:sz="4" w:space="0" w:color="62C8CF" w:themeColor="accent3"/>
        <w:bottom w:val="single" w:sz="4" w:space="0" w:color="62C8CF" w:themeColor="accent3"/>
        <w:right w:val="single" w:sz="4" w:space="0" w:color="62C8CF" w:themeColor="accent3"/>
        <w:insideH w:val="single" w:sz="4" w:space="0" w:color="62C8CF" w:themeColor="accent3"/>
        <w:insideV w:val="single" w:sz="4" w:space="0" w:color="62C8CF" w:themeColor="accent3"/>
      </w:tblBorders>
    </w:tblPr>
    <w:tcPr>
      <w:shd w:val="clear" w:color="auto" w:fill="auto"/>
    </w:tcPr>
    <w:tblStylePr w:type="firstRow">
      <w:rPr>
        <w:b w:val="0"/>
        <w:color w:val="FFFFFF" w:themeColor="background1"/>
      </w:rPr>
      <w:tblPr/>
      <w:tcPr>
        <w:shd w:val="clear" w:color="auto" w:fill="62C8CF" w:themeFill="accent3"/>
      </w:tcPr>
    </w:tblStylePr>
    <w:tblStylePr w:type="lastRow">
      <w:rPr>
        <w:rFonts w:asciiTheme="minorHAnsi" w:hAnsiTheme="minorHAnsi"/>
        <w:b w:val="0"/>
      </w:rPr>
      <w:tblPr/>
      <w:tcPr>
        <w:shd w:val="clear" w:color="auto" w:fill="A0DDE2" w:themeFill="accent3" w:themeFillTint="99"/>
      </w:tcPr>
    </w:tblStylePr>
    <w:tblStylePr w:type="firstCol">
      <w:tblPr/>
      <w:tcPr>
        <w:shd w:val="clear" w:color="auto" w:fill="C0E8EB" w:themeFill="accent3" w:themeFillTint="66"/>
      </w:tcPr>
    </w:tblStylePr>
    <w:tblStylePr w:type="lastCol">
      <w:rPr>
        <w:rFonts w:asciiTheme="minorHAnsi" w:hAnsiTheme="minorHAnsi"/>
      </w:rPr>
      <w:tblPr/>
      <w:tcPr>
        <w:shd w:val="clear" w:color="auto" w:fill="A0DDE2" w:themeFill="accent3" w:themeFillTint="99"/>
      </w:tcPr>
    </w:tblStylePr>
    <w:tblStylePr w:type="band2Vert">
      <w:rPr>
        <w:rFonts w:asciiTheme="minorHAnsi" w:hAnsiTheme="minorHAnsi"/>
      </w:rPr>
      <w:tblPr/>
      <w:tcPr>
        <w:shd w:val="clear" w:color="auto" w:fill="DFF4F5" w:themeFill="accent3" w:themeFillTint="33"/>
      </w:tcPr>
    </w:tblStylePr>
    <w:tblStylePr w:type="band2Horz">
      <w:rPr>
        <w:rFonts w:asciiTheme="minorHAnsi" w:hAnsiTheme="minorHAnsi"/>
      </w:rPr>
      <w:tblPr/>
      <w:tcPr>
        <w:shd w:val="clear" w:color="auto" w:fill="DFF4F5" w:themeFill="accent3" w:themeFillTint="33"/>
      </w:tcPr>
    </w:tblStylePr>
  </w:style>
  <w:style w:type="character" w:styleId="UnresolvedMention">
    <w:name w:val="Unresolved Mention"/>
    <w:basedOn w:val="DefaultParagraphFont"/>
    <w:uiPriority w:val="99"/>
    <w:semiHidden/>
    <w:unhideWhenUsed/>
    <w:rsid w:val="007347D1"/>
    <w:rPr>
      <w:color w:val="605E5C"/>
      <w:shd w:val="clear" w:color="auto" w:fill="E1DFDD"/>
    </w:rPr>
  </w:style>
  <w:style w:type="paragraph" w:customStyle="1" w:styleId="TableParagraph">
    <w:name w:val="Table Paragraph"/>
    <w:basedOn w:val="Normal"/>
    <w:uiPriority w:val="1"/>
    <w:qFormat/>
    <w:rsid w:val="007347D1"/>
    <w:pPr>
      <w:widowControl w:val="0"/>
      <w:autoSpaceDE w:val="0"/>
      <w:autoSpaceDN w:val="0"/>
      <w:spacing w:before="95" w:after="0"/>
      <w:ind w:left="50"/>
      <w:jc w:val="left"/>
    </w:pPr>
    <w:rPr>
      <w:rFonts w:ascii="Arial" w:eastAsia="Arial" w:hAnsi="Arial" w:cs="Arial"/>
    </w:rPr>
  </w:style>
  <w:style w:type="character" w:styleId="Strong">
    <w:name w:val="Strong"/>
    <w:basedOn w:val="DefaultParagraphFont"/>
    <w:uiPriority w:val="22"/>
    <w:qFormat/>
    <w:rsid w:val="007347D1"/>
    <w:rPr>
      <w:rFonts w:asciiTheme="minorHAnsi" w:hAnsiTheme="minorHAnsi"/>
      <w:b/>
      <w:bCs/>
      <w:color w:val="1A1717" w:themeColor="accent1" w:themeShade="BF"/>
      <w:sz w:val="20"/>
    </w:rPr>
  </w:style>
  <w:style w:type="paragraph" w:customStyle="1" w:styleId="TORHEADING1">
    <w:name w:val="TOR HEADING 1"/>
    <w:basedOn w:val="BodyText"/>
    <w:link w:val="TORHEADING1Char"/>
    <w:qFormat/>
    <w:rsid w:val="007347D1"/>
    <w:pPr>
      <w:spacing w:before="240" w:after="120"/>
    </w:pPr>
    <w:rPr>
      <w:color w:val="231F20" w:themeColor="accent1"/>
      <w:sz w:val="24"/>
    </w:rPr>
  </w:style>
  <w:style w:type="character" w:customStyle="1" w:styleId="TORHEADING1Char">
    <w:name w:val="TOR HEADING 1 Char"/>
    <w:basedOn w:val="BodyTextChar"/>
    <w:link w:val="TORHEADING1"/>
    <w:rsid w:val="007347D1"/>
    <w:rPr>
      <w:rFonts w:ascii="Arial" w:hAnsi="Arial"/>
      <w:color w:val="231F20" w:themeColor="accent1"/>
      <w:sz w:val="24"/>
    </w:rPr>
  </w:style>
  <w:style w:type="paragraph" w:customStyle="1" w:styleId="BVIfnrCharChar1">
    <w:name w:val="BVI fnr Char Char1"/>
    <w:aliases w:val="BVI fnr Car Car Char Char1,BVI fnr Car Char Char1,BVI fnr Car Car Car Car Char Char Char Char,BVI fnr Char Char Char Char,BVI fnr Car Car Char Char Char Char,referencia nota al pie Char,BVI fnr Char,BVI fnr Car Car Char"/>
    <w:basedOn w:val="Normal"/>
    <w:link w:val="FootnoteReference"/>
    <w:uiPriority w:val="99"/>
    <w:rsid w:val="00085363"/>
    <w:pPr>
      <w:spacing w:after="160" w:line="240" w:lineRule="exact"/>
      <w:jc w:val="left"/>
    </w:pPr>
    <w:rPr>
      <w:vertAlign w:val="superscript"/>
    </w:rPr>
  </w:style>
  <w:style w:type="table" w:styleId="GridTable4-Accent5">
    <w:name w:val="Grid Table 4 Accent 5"/>
    <w:basedOn w:val="TableNormal"/>
    <w:uiPriority w:val="49"/>
    <w:rsid w:val="00085363"/>
    <w:pPr>
      <w:spacing w:after="0"/>
      <w:jc w:val="left"/>
    </w:pPr>
    <w:tblPr>
      <w:tblStyleRowBandSize w:val="1"/>
      <w:tblStyleColBandSize w:val="1"/>
      <w:tblBorders>
        <w:top w:val="single" w:sz="4" w:space="0" w:color="D8CEB9" w:themeColor="accent5" w:themeTint="99"/>
        <w:left w:val="single" w:sz="4" w:space="0" w:color="D8CEB9" w:themeColor="accent5" w:themeTint="99"/>
        <w:bottom w:val="single" w:sz="4" w:space="0" w:color="D8CEB9" w:themeColor="accent5" w:themeTint="99"/>
        <w:right w:val="single" w:sz="4" w:space="0" w:color="D8CEB9" w:themeColor="accent5" w:themeTint="99"/>
        <w:insideH w:val="single" w:sz="4" w:space="0" w:color="D8CEB9" w:themeColor="accent5" w:themeTint="99"/>
        <w:insideV w:val="single" w:sz="4" w:space="0" w:color="D8CEB9" w:themeColor="accent5" w:themeTint="99"/>
      </w:tblBorders>
    </w:tblPr>
    <w:tblStylePr w:type="firstRow">
      <w:rPr>
        <w:b/>
        <w:bCs/>
        <w:color w:val="FFFFFF" w:themeColor="background1"/>
      </w:rPr>
      <w:tblPr/>
      <w:tcPr>
        <w:tcBorders>
          <w:top w:val="single" w:sz="4" w:space="0" w:color="BFAF8C" w:themeColor="accent5"/>
          <w:left w:val="single" w:sz="4" w:space="0" w:color="BFAF8C" w:themeColor="accent5"/>
          <w:bottom w:val="single" w:sz="4" w:space="0" w:color="BFAF8C" w:themeColor="accent5"/>
          <w:right w:val="single" w:sz="4" w:space="0" w:color="BFAF8C" w:themeColor="accent5"/>
          <w:insideH w:val="nil"/>
          <w:insideV w:val="nil"/>
        </w:tcBorders>
        <w:shd w:val="clear" w:color="auto" w:fill="BFAF8C" w:themeFill="accent5"/>
      </w:tcPr>
    </w:tblStylePr>
    <w:tblStylePr w:type="lastRow">
      <w:rPr>
        <w:b/>
        <w:bCs/>
      </w:rPr>
      <w:tblPr/>
      <w:tcPr>
        <w:tcBorders>
          <w:top w:val="double" w:sz="4" w:space="0" w:color="BFAF8C" w:themeColor="accent5"/>
        </w:tcBorders>
      </w:tcPr>
    </w:tblStylePr>
    <w:tblStylePr w:type="firstCol">
      <w:rPr>
        <w:b/>
        <w:bCs/>
      </w:rPr>
    </w:tblStylePr>
    <w:tblStylePr w:type="lastCol">
      <w:rPr>
        <w:b/>
        <w:bCs/>
      </w:rPr>
    </w:tblStylePr>
    <w:tblStylePr w:type="band1Vert">
      <w:tblPr/>
      <w:tcPr>
        <w:shd w:val="clear" w:color="auto" w:fill="F2EEE7" w:themeFill="accent5" w:themeFillTint="33"/>
      </w:tcPr>
    </w:tblStylePr>
    <w:tblStylePr w:type="band1Horz">
      <w:tblPr/>
      <w:tcPr>
        <w:shd w:val="clear" w:color="auto" w:fill="F2EEE7" w:themeFill="accent5" w:themeFillTint="33"/>
      </w:tcPr>
    </w:tblStylePr>
  </w:style>
  <w:style w:type="character" w:customStyle="1" w:styleId="normaltextrun">
    <w:name w:val="normaltextrun"/>
    <w:basedOn w:val="DefaultParagraphFont"/>
    <w:rsid w:val="00085363"/>
  </w:style>
  <w:style w:type="character" w:customStyle="1" w:styleId="eop">
    <w:name w:val="eop"/>
    <w:basedOn w:val="DefaultParagraphFont"/>
    <w:rsid w:val="00085363"/>
  </w:style>
  <w:style w:type="table" w:styleId="PlainTable3">
    <w:name w:val="Plain Table 3"/>
    <w:basedOn w:val="TableNormal"/>
    <w:uiPriority w:val="43"/>
    <w:rsid w:val="009D752E"/>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xmsonormal">
    <w:name w:val="x_msonormal"/>
    <w:basedOn w:val="Normal"/>
    <w:rsid w:val="00CC1EB6"/>
    <w:pPr>
      <w:spacing w:after="0"/>
      <w:jc w:val="left"/>
    </w:pPr>
    <w:rPr>
      <w:rFonts w:ascii="Calibri" w:hAnsi="Calibri" w:cs="Calibri"/>
    </w:rPr>
  </w:style>
  <w:style w:type="character" w:customStyle="1" w:styleId="cf01">
    <w:name w:val="cf01"/>
    <w:basedOn w:val="DefaultParagraphFont"/>
    <w:rsid w:val="00C80381"/>
    <w:rPr>
      <w:rFonts w:ascii="Segoe UI" w:hAnsi="Segoe UI" w:cs="Segoe UI" w:hint="default"/>
      <w:sz w:val="18"/>
      <w:szCs w:val="18"/>
    </w:rPr>
  </w:style>
  <w:style w:type="table" w:customStyle="1" w:styleId="PlainTable21">
    <w:name w:val="Plain Table 21"/>
    <w:basedOn w:val="TableNormal"/>
    <w:uiPriority w:val="42"/>
    <w:rsid w:val="007052B1"/>
    <w:pPr>
      <w:spacing w:after="0"/>
      <w:jc w:val="left"/>
    </w:pPr>
    <w:rPr>
      <w:rFonts w:ascii="Arial" w:eastAsia="Arial" w:hAnsi="Arial" w:cs="Times New Roman"/>
      <w:sz w:val="16"/>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jc w:val="left"/>
      </w:pPr>
      <w:rPr>
        <w:b/>
        <w:bCs/>
        <w:color w:val="1A1717" w:themeColor="accent1" w:themeShade="BF"/>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7F7F7F" w:themeColor="text1" w:themeTint="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011E55"/>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wacimagecontainer">
    <w:name w:val="wacimagecontainer"/>
    <w:basedOn w:val="DefaultParagraphFont"/>
    <w:rsid w:val="00011E55"/>
  </w:style>
  <w:style w:type="character" w:customStyle="1" w:styleId="scxw179894605">
    <w:name w:val="scxw179894605"/>
    <w:basedOn w:val="DefaultParagraphFont"/>
    <w:rsid w:val="00011E55"/>
  </w:style>
  <w:style w:type="table" w:customStyle="1" w:styleId="CBStyle1">
    <w:name w:val="CBStyle1"/>
    <w:basedOn w:val="TableNormal"/>
    <w:uiPriority w:val="99"/>
    <w:rsid w:val="00D05FF0"/>
    <w:pPr>
      <w:spacing w:after="0"/>
      <w:jc w:val="left"/>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934">
      <w:bodyDiv w:val="1"/>
      <w:marLeft w:val="0"/>
      <w:marRight w:val="0"/>
      <w:marTop w:val="0"/>
      <w:marBottom w:val="0"/>
      <w:divBdr>
        <w:top w:val="none" w:sz="0" w:space="0" w:color="auto"/>
        <w:left w:val="none" w:sz="0" w:space="0" w:color="auto"/>
        <w:bottom w:val="none" w:sz="0" w:space="0" w:color="auto"/>
        <w:right w:val="none" w:sz="0" w:space="0" w:color="auto"/>
      </w:divBdr>
    </w:div>
    <w:div w:id="3018195">
      <w:bodyDiv w:val="1"/>
      <w:marLeft w:val="0"/>
      <w:marRight w:val="0"/>
      <w:marTop w:val="0"/>
      <w:marBottom w:val="0"/>
      <w:divBdr>
        <w:top w:val="none" w:sz="0" w:space="0" w:color="auto"/>
        <w:left w:val="none" w:sz="0" w:space="0" w:color="auto"/>
        <w:bottom w:val="none" w:sz="0" w:space="0" w:color="auto"/>
        <w:right w:val="none" w:sz="0" w:space="0" w:color="auto"/>
      </w:divBdr>
    </w:div>
    <w:div w:id="17246218">
      <w:bodyDiv w:val="1"/>
      <w:marLeft w:val="0"/>
      <w:marRight w:val="0"/>
      <w:marTop w:val="0"/>
      <w:marBottom w:val="0"/>
      <w:divBdr>
        <w:top w:val="none" w:sz="0" w:space="0" w:color="auto"/>
        <w:left w:val="none" w:sz="0" w:space="0" w:color="auto"/>
        <w:bottom w:val="none" w:sz="0" w:space="0" w:color="auto"/>
        <w:right w:val="none" w:sz="0" w:space="0" w:color="auto"/>
      </w:divBdr>
    </w:div>
    <w:div w:id="17783550">
      <w:bodyDiv w:val="1"/>
      <w:marLeft w:val="0"/>
      <w:marRight w:val="0"/>
      <w:marTop w:val="0"/>
      <w:marBottom w:val="0"/>
      <w:divBdr>
        <w:top w:val="none" w:sz="0" w:space="0" w:color="auto"/>
        <w:left w:val="none" w:sz="0" w:space="0" w:color="auto"/>
        <w:bottom w:val="none" w:sz="0" w:space="0" w:color="auto"/>
        <w:right w:val="none" w:sz="0" w:space="0" w:color="auto"/>
      </w:divBdr>
    </w:div>
    <w:div w:id="33316729">
      <w:bodyDiv w:val="1"/>
      <w:marLeft w:val="0"/>
      <w:marRight w:val="0"/>
      <w:marTop w:val="0"/>
      <w:marBottom w:val="0"/>
      <w:divBdr>
        <w:top w:val="none" w:sz="0" w:space="0" w:color="auto"/>
        <w:left w:val="none" w:sz="0" w:space="0" w:color="auto"/>
        <w:bottom w:val="none" w:sz="0" w:space="0" w:color="auto"/>
        <w:right w:val="none" w:sz="0" w:space="0" w:color="auto"/>
      </w:divBdr>
    </w:div>
    <w:div w:id="52237989">
      <w:bodyDiv w:val="1"/>
      <w:marLeft w:val="0"/>
      <w:marRight w:val="0"/>
      <w:marTop w:val="0"/>
      <w:marBottom w:val="0"/>
      <w:divBdr>
        <w:top w:val="none" w:sz="0" w:space="0" w:color="auto"/>
        <w:left w:val="none" w:sz="0" w:space="0" w:color="auto"/>
        <w:bottom w:val="none" w:sz="0" w:space="0" w:color="auto"/>
        <w:right w:val="none" w:sz="0" w:space="0" w:color="auto"/>
      </w:divBdr>
    </w:div>
    <w:div w:id="62456572">
      <w:bodyDiv w:val="1"/>
      <w:marLeft w:val="0"/>
      <w:marRight w:val="0"/>
      <w:marTop w:val="0"/>
      <w:marBottom w:val="0"/>
      <w:divBdr>
        <w:top w:val="none" w:sz="0" w:space="0" w:color="auto"/>
        <w:left w:val="none" w:sz="0" w:space="0" w:color="auto"/>
        <w:bottom w:val="none" w:sz="0" w:space="0" w:color="auto"/>
        <w:right w:val="none" w:sz="0" w:space="0" w:color="auto"/>
      </w:divBdr>
    </w:div>
    <w:div w:id="71977220">
      <w:bodyDiv w:val="1"/>
      <w:marLeft w:val="0"/>
      <w:marRight w:val="0"/>
      <w:marTop w:val="0"/>
      <w:marBottom w:val="0"/>
      <w:divBdr>
        <w:top w:val="none" w:sz="0" w:space="0" w:color="auto"/>
        <w:left w:val="none" w:sz="0" w:space="0" w:color="auto"/>
        <w:bottom w:val="none" w:sz="0" w:space="0" w:color="auto"/>
        <w:right w:val="none" w:sz="0" w:space="0" w:color="auto"/>
      </w:divBdr>
    </w:div>
    <w:div w:id="72776776">
      <w:bodyDiv w:val="1"/>
      <w:marLeft w:val="0"/>
      <w:marRight w:val="0"/>
      <w:marTop w:val="0"/>
      <w:marBottom w:val="0"/>
      <w:divBdr>
        <w:top w:val="none" w:sz="0" w:space="0" w:color="auto"/>
        <w:left w:val="none" w:sz="0" w:space="0" w:color="auto"/>
        <w:bottom w:val="none" w:sz="0" w:space="0" w:color="auto"/>
        <w:right w:val="none" w:sz="0" w:space="0" w:color="auto"/>
      </w:divBdr>
    </w:div>
    <w:div w:id="76287970">
      <w:bodyDiv w:val="1"/>
      <w:marLeft w:val="0"/>
      <w:marRight w:val="0"/>
      <w:marTop w:val="0"/>
      <w:marBottom w:val="0"/>
      <w:divBdr>
        <w:top w:val="none" w:sz="0" w:space="0" w:color="auto"/>
        <w:left w:val="none" w:sz="0" w:space="0" w:color="auto"/>
        <w:bottom w:val="none" w:sz="0" w:space="0" w:color="auto"/>
        <w:right w:val="none" w:sz="0" w:space="0" w:color="auto"/>
      </w:divBdr>
    </w:div>
    <w:div w:id="80831714">
      <w:bodyDiv w:val="1"/>
      <w:marLeft w:val="0"/>
      <w:marRight w:val="0"/>
      <w:marTop w:val="0"/>
      <w:marBottom w:val="0"/>
      <w:divBdr>
        <w:top w:val="none" w:sz="0" w:space="0" w:color="auto"/>
        <w:left w:val="none" w:sz="0" w:space="0" w:color="auto"/>
        <w:bottom w:val="none" w:sz="0" w:space="0" w:color="auto"/>
        <w:right w:val="none" w:sz="0" w:space="0" w:color="auto"/>
      </w:divBdr>
    </w:div>
    <w:div w:id="173308552">
      <w:bodyDiv w:val="1"/>
      <w:marLeft w:val="0"/>
      <w:marRight w:val="0"/>
      <w:marTop w:val="0"/>
      <w:marBottom w:val="0"/>
      <w:divBdr>
        <w:top w:val="none" w:sz="0" w:space="0" w:color="auto"/>
        <w:left w:val="none" w:sz="0" w:space="0" w:color="auto"/>
        <w:bottom w:val="none" w:sz="0" w:space="0" w:color="auto"/>
        <w:right w:val="none" w:sz="0" w:space="0" w:color="auto"/>
      </w:divBdr>
    </w:div>
    <w:div w:id="180628848">
      <w:bodyDiv w:val="1"/>
      <w:marLeft w:val="0"/>
      <w:marRight w:val="0"/>
      <w:marTop w:val="0"/>
      <w:marBottom w:val="0"/>
      <w:divBdr>
        <w:top w:val="none" w:sz="0" w:space="0" w:color="auto"/>
        <w:left w:val="none" w:sz="0" w:space="0" w:color="auto"/>
        <w:bottom w:val="none" w:sz="0" w:space="0" w:color="auto"/>
        <w:right w:val="none" w:sz="0" w:space="0" w:color="auto"/>
      </w:divBdr>
    </w:div>
    <w:div w:id="213782271">
      <w:bodyDiv w:val="1"/>
      <w:marLeft w:val="0"/>
      <w:marRight w:val="0"/>
      <w:marTop w:val="0"/>
      <w:marBottom w:val="0"/>
      <w:divBdr>
        <w:top w:val="none" w:sz="0" w:space="0" w:color="auto"/>
        <w:left w:val="none" w:sz="0" w:space="0" w:color="auto"/>
        <w:bottom w:val="none" w:sz="0" w:space="0" w:color="auto"/>
        <w:right w:val="none" w:sz="0" w:space="0" w:color="auto"/>
      </w:divBdr>
    </w:div>
    <w:div w:id="224147611">
      <w:bodyDiv w:val="1"/>
      <w:marLeft w:val="0"/>
      <w:marRight w:val="0"/>
      <w:marTop w:val="0"/>
      <w:marBottom w:val="0"/>
      <w:divBdr>
        <w:top w:val="none" w:sz="0" w:space="0" w:color="auto"/>
        <w:left w:val="none" w:sz="0" w:space="0" w:color="auto"/>
        <w:bottom w:val="none" w:sz="0" w:space="0" w:color="auto"/>
        <w:right w:val="none" w:sz="0" w:space="0" w:color="auto"/>
      </w:divBdr>
    </w:div>
    <w:div w:id="237059933">
      <w:bodyDiv w:val="1"/>
      <w:marLeft w:val="0"/>
      <w:marRight w:val="0"/>
      <w:marTop w:val="0"/>
      <w:marBottom w:val="0"/>
      <w:divBdr>
        <w:top w:val="none" w:sz="0" w:space="0" w:color="auto"/>
        <w:left w:val="none" w:sz="0" w:space="0" w:color="auto"/>
        <w:bottom w:val="none" w:sz="0" w:space="0" w:color="auto"/>
        <w:right w:val="none" w:sz="0" w:space="0" w:color="auto"/>
      </w:divBdr>
    </w:div>
    <w:div w:id="247464333">
      <w:bodyDiv w:val="1"/>
      <w:marLeft w:val="0"/>
      <w:marRight w:val="0"/>
      <w:marTop w:val="0"/>
      <w:marBottom w:val="0"/>
      <w:divBdr>
        <w:top w:val="none" w:sz="0" w:space="0" w:color="auto"/>
        <w:left w:val="none" w:sz="0" w:space="0" w:color="auto"/>
        <w:bottom w:val="none" w:sz="0" w:space="0" w:color="auto"/>
        <w:right w:val="none" w:sz="0" w:space="0" w:color="auto"/>
      </w:divBdr>
    </w:div>
    <w:div w:id="248738537">
      <w:bodyDiv w:val="1"/>
      <w:marLeft w:val="0"/>
      <w:marRight w:val="0"/>
      <w:marTop w:val="0"/>
      <w:marBottom w:val="0"/>
      <w:divBdr>
        <w:top w:val="none" w:sz="0" w:space="0" w:color="auto"/>
        <w:left w:val="none" w:sz="0" w:space="0" w:color="auto"/>
        <w:bottom w:val="none" w:sz="0" w:space="0" w:color="auto"/>
        <w:right w:val="none" w:sz="0" w:space="0" w:color="auto"/>
      </w:divBdr>
    </w:div>
    <w:div w:id="268589926">
      <w:bodyDiv w:val="1"/>
      <w:marLeft w:val="0"/>
      <w:marRight w:val="0"/>
      <w:marTop w:val="0"/>
      <w:marBottom w:val="0"/>
      <w:divBdr>
        <w:top w:val="none" w:sz="0" w:space="0" w:color="auto"/>
        <w:left w:val="none" w:sz="0" w:space="0" w:color="auto"/>
        <w:bottom w:val="none" w:sz="0" w:space="0" w:color="auto"/>
        <w:right w:val="none" w:sz="0" w:space="0" w:color="auto"/>
      </w:divBdr>
    </w:div>
    <w:div w:id="270431466">
      <w:bodyDiv w:val="1"/>
      <w:marLeft w:val="0"/>
      <w:marRight w:val="0"/>
      <w:marTop w:val="0"/>
      <w:marBottom w:val="0"/>
      <w:divBdr>
        <w:top w:val="none" w:sz="0" w:space="0" w:color="auto"/>
        <w:left w:val="none" w:sz="0" w:space="0" w:color="auto"/>
        <w:bottom w:val="none" w:sz="0" w:space="0" w:color="auto"/>
        <w:right w:val="none" w:sz="0" w:space="0" w:color="auto"/>
      </w:divBdr>
    </w:div>
    <w:div w:id="273706944">
      <w:bodyDiv w:val="1"/>
      <w:marLeft w:val="0"/>
      <w:marRight w:val="0"/>
      <w:marTop w:val="0"/>
      <w:marBottom w:val="0"/>
      <w:divBdr>
        <w:top w:val="none" w:sz="0" w:space="0" w:color="auto"/>
        <w:left w:val="none" w:sz="0" w:space="0" w:color="auto"/>
        <w:bottom w:val="none" w:sz="0" w:space="0" w:color="auto"/>
        <w:right w:val="none" w:sz="0" w:space="0" w:color="auto"/>
      </w:divBdr>
    </w:div>
    <w:div w:id="291330546">
      <w:bodyDiv w:val="1"/>
      <w:marLeft w:val="0"/>
      <w:marRight w:val="0"/>
      <w:marTop w:val="0"/>
      <w:marBottom w:val="0"/>
      <w:divBdr>
        <w:top w:val="none" w:sz="0" w:space="0" w:color="auto"/>
        <w:left w:val="none" w:sz="0" w:space="0" w:color="auto"/>
        <w:bottom w:val="none" w:sz="0" w:space="0" w:color="auto"/>
        <w:right w:val="none" w:sz="0" w:space="0" w:color="auto"/>
      </w:divBdr>
    </w:div>
    <w:div w:id="294526673">
      <w:bodyDiv w:val="1"/>
      <w:marLeft w:val="0"/>
      <w:marRight w:val="0"/>
      <w:marTop w:val="0"/>
      <w:marBottom w:val="0"/>
      <w:divBdr>
        <w:top w:val="none" w:sz="0" w:space="0" w:color="auto"/>
        <w:left w:val="none" w:sz="0" w:space="0" w:color="auto"/>
        <w:bottom w:val="none" w:sz="0" w:space="0" w:color="auto"/>
        <w:right w:val="none" w:sz="0" w:space="0" w:color="auto"/>
      </w:divBdr>
    </w:div>
    <w:div w:id="299726213">
      <w:bodyDiv w:val="1"/>
      <w:marLeft w:val="0"/>
      <w:marRight w:val="0"/>
      <w:marTop w:val="0"/>
      <w:marBottom w:val="0"/>
      <w:divBdr>
        <w:top w:val="none" w:sz="0" w:space="0" w:color="auto"/>
        <w:left w:val="none" w:sz="0" w:space="0" w:color="auto"/>
        <w:bottom w:val="none" w:sz="0" w:space="0" w:color="auto"/>
        <w:right w:val="none" w:sz="0" w:space="0" w:color="auto"/>
      </w:divBdr>
      <w:divsChild>
        <w:div w:id="810170737">
          <w:marLeft w:val="0"/>
          <w:marRight w:val="0"/>
          <w:marTop w:val="0"/>
          <w:marBottom w:val="0"/>
          <w:divBdr>
            <w:top w:val="none" w:sz="0" w:space="0" w:color="auto"/>
            <w:left w:val="none" w:sz="0" w:space="0" w:color="auto"/>
            <w:bottom w:val="none" w:sz="0" w:space="0" w:color="auto"/>
            <w:right w:val="none" w:sz="0" w:space="0" w:color="auto"/>
          </w:divBdr>
        </w:div>
        <w:div w:id="1333605148">
          <w:marLeft w:val="0"/>
          <w:marRight w:val="0"/>
          <w:marTop w:val="0"/>
          <w:marBottom w:val="0"/>
          <w:divBdr>
            <w:top w:val="none" w:sz="0" w:space="0" w:color="auto"/>
            <w:left w:val="none" w:sz="0" w:space="0" w:color="auto"/>
            <w:bottom w:val="none" w:sz="0" w:space="0" w:color="auto"/>
            <w:right w:val="none" w:sz="0" w:space="0" w:color="auto"/>
          </w:divBdr>
        </w:div>
        <w:div w:id="1454012134">
          <w:marLeft w:val="0"/>
          <w:marRight w:val="0"/>
          <w:marTop w:val="0"/>
          <w:marBottom w:val="0"/>
          <w:divBdr>
            <w:top w:val="none" w:sz="0" w:space="0" w:color="auto"/>
            <w:left w:val="none" w:sz="0" w:space="0" w:color="auto"/>
            <w:bottom w:val="none" w:sz="0" w:space="0" w:color="auto"/>
            <w:right w:val="none" w:sz="0" w:space="0" w:color="auto"/>
          </w:divBdr>
        </w:div>
      </w:divsChild>
    </w:div>
    <w:div w:id="330765427">
      <w:bodyDiv w:val="1"/>
      <w:marLeft w:val="0"/>
      <w:marRight w:val="0"/>
      <w:marTop w:val="0"/>
      <w:marBottom w:val="0"/>
      <w:divBdr>
        <w:top w:val="none" w:sz="0" w:space="0" w:color="auto"/>
        <w:left w:val="none" w:sz="0" w:space="0" w:color="auto"/>
        <w:bottom w:val="none" w:sz="0" w:space="0" w:color="auto"/>
        <w:right w:val="none" w:sz="0" w:space="0" w:color="auto"/>
      </w:divBdr>
    </w:div>
    <w:div w:id="330912552">
      <w:bodyDiv w:val="1"/>
      <w:marLeft w:val="0"/>
      <w:marRight w:val="0"/>
      <w:marTop w:val="0"/>
      <w:marBottom w:val="0"/>
      <w:divBdr>
        <w:top w:val="none" w:sz="0" w:space="0" w:color="auto"/>
        <w:left w:val="none" w:sz="0" w:space="0" w:color="auto"/>
        <w:bottom w:val="none" w:sz="0" w:space="0" w:color="auto"/>
        <w:right w:val="none" w:sz="0" w:space="0" w:color="auto"/>
      </w:divBdr>
    </w:div>
    <w:div w:id="354383380">
      <w:bodyDiv w:val="1"/>
      <w:marLeft w:val="0"/>
      <w:marRight w:val="0"/>
      <w:marTop w:val="0"/>
      <w:marBottom w:val="0"/>
      <w:divBdr>
        <w:top w:val="none" w:sz="0" w:space="0" w:color="auto"/>
        <w:left w:val="none" w:sz="0" w:space="0" w:color="auto"/>
        <w:bottom w:val="none" w:sz="0" w:space="0" w:color="auto"/>
        <w:right w:val="none" w:sz="0" w:space="0" w:color="auto"/>
      </w:divBdr>
    </w:div>
    <w:div w:id="367223932">
      <w:bodyDiv w:val="1"/>
      <w:marLeft w:val="0"/>
      <w:marRight w:val="0"/>
      <w:marTop w:val="0"/>
      <w:marBottom w:val="0"/>
      <w:divBdr>
        <w:top w:val="none" w:sz="0" w:space="0" w:color="auto"/>
        <w:left w:val="none" w:sz="0" w:space="0" w:color="auto"/>
        <w:bottom w:val="none" w:sz="0" w:space="0" w:color="auto"/>
        <w:right w:val="none" w:sz="0" w:space="0" w:color="auto"/>
      </w:divBdr>
    </w:div>
    <w:div w:id="370226714">
      <w:bodyDiv w:val="1"/>
      <w:marLeft w:val="0"/>
      <w:marRight w:val="0"/>
      <w:marTop w:val="0"/>
      <w:marBottom w:val="0"/>
      <w:divBdr>
        <w:top w:val="none" w:sz="0" w:space="0" w:color="auto"/>
        <w:left w:val="none" w:sz="0" w:space="0" w:color="auto"/>
        <w:bottom w:val="none" w:sz="0" w:space="0" w:color="auto"/>
        <w:right w:val="none" w:sz="0" w:space="0" w:color="auto"/>
      </w:divBdr>
    </w:div>
    <w:div w:id="370572768">
      <w:bodyDiv w:val="1"/>
      <w:marLeft w:val="0"/>
      <w:marRight w:val="0"/>
      <w:marTop w:val="0"/>
      <w:marBottom w:val="0"/>
      <w:divBdr>
        <w:top w:val="none" w:sz="0" w:space="0" w:color="auto"/>
        <w:left w:val="none" w:sz="0" w:space="0" w:color="auto"/>
        <w:bottom w:val="none" w:sz="0" w:space="0" w:color="auto"/>
        <w:right w:val="none" w:sz="0" w:space="0" w:color="auto"/>
      </w:divBdr>
    </w:div>
    <w:div w:id="380058178">
      <w:bodyDiv w:val="1"/>
      <w:marLeft w:val="0"/>
      <w:marRight w:val="0"/>
      <w:marTop w:val="0"/>
      <w:marBottom w:val="0"/>
      <w:divBdr>
        <w:top w:val="none" w:sz="0" w:space="0" w:color="auto"/>
        <w:left w:val="none" w:sz="0" w:space="0" w:color="auto"/>
        <w:bottom w:val="none" w:sz="0" w:space="0" w:color="auto"/>
        <w:right w:val="none" w:sz="0" w:space="0" w:color="auto"/>
      </w:divBdr>
    </w:div>
    <w:div w:id="381027168">
      <w:bodyDiv w:val="1"/>
      <w:marLeft w:val="0"/>
      <w:marRight w:val="0"/>
      <w:marTop w:val="0"/>
      <w:marBottom w:val="0"/>
      <w:divBdr>
        <w:top w:val="none" w:sz="0" w:space="0" w:color="auto"/>
        <w:left w:val="none" w:sz="0" w:space="0" w:color="auto"/>
        <w:bottom w:val="none" w:sz="0" w:space="0" w:color="auto"/>
        <w:right w:val="none" w:sz="0" w:space="0" w:color="auto"/>
      </w:divBdr>
    </w:div>
    <w:div w:id="412163637">
      <w:bodyDiv w:val="1"/>
      <w:marLeft w:val="0"/>
      <w:marRight w:val="0"/>
      <w:marTop w:val="0"/>
      <w:marBottom w:val="0"/>
      <w:divBdr>
        <w:top w:val="none" w:sz="0" w:space="0" w:color="auto"/>
        <w:left w:val="none" w:sz="0" w:space="0" w:color="auto"/>
        <w:bottom w:val="none" w:sz="0" w:space="0" w:color="auto"/>
        <w:right w:val="none" w:sz="0" w:space="0" w:color="auto"/>
      </w:divBdr>
    </w:div>
    <w:div w:id="429667460">
      <w:bodyDiv w:val="1"/>
      <w:marLeft w:val="0"/>
      <w:marRight w:val="0"/>
      <w:marTop w:val="0"/>
      <w:marBottom w:val="0"/>
      <w:divBdr>
        <w:top w:val="none" w:sz="0" w:space="0" w:color="auto"/>
        <w:left w:val="none" w:sz="0" w:space="0" w:color="auto"/>
        <w:bottom w:val="none" w:sz="0" w:space="0" w:color="auto"/>
        <w:right w:val="none" w:sz="0" w:space="0" w:color="auto"/>
      </w:divBdr>
    </w:div>
    <w:div w:id="470294177">
      <w:bodyDiv w:val="1"/>
      <w:marLeft w:val="0"/>
      <w:marRight w:val="0"/>
      <w:marTop w:val="0"/>
      <w:marBottom w:val="0"/>
      <w:divBdr>
        <w:top w:val="none" w:sz="0" w:space="0" w:color="auto"/>
        <w:left w:val="none" w:sz="0" w:space="0" w:color="auto"/>
        <w:bottom w:val="none" w:sz="0" w:space="0" w:color="auto"/>
        <w:right w:val="none" w:sz="0" w:space="0" w:color="auto"/>
      </w:divBdr>
    </w:div>
    <w:div w:id="481193220">
      <w:bodyDiv w:val="1"/>
      <w:marLeft w:val="0"/>
      <w:marRight w:val="0"/>
      <w:marTop w:val="0"/>
      <w:marBottom w:val="0"/>
      <w:divBdr>
        <w:top w:val="none" w:sz="0" w:space="0" w:color="auto"/>
        <w:left w:val="none" w:sz="0" w:space="0" w:color="auto"/>
        <w:bottom w:val="none" w:sz="0" w:space="0" w:color="auto"/>
        <w:right w:val="none" w:sz="0" w:space="0" w:color="auto"/>
      </w:divBdr>
    </w:div>
    <w:div w:id="495851163">
      <w:bodyDiv w:val="1"/>
      <w:marLeft w:val="0"/>
      <w:marRight w:val="0"/>
      <w:marTop w:val="0"/>
      <w:marBottom w:val="0"/>
      <w:divBdr>
        <w:top w:val="none" w:sz="0" w:space="0" w:color="auto"/>
        <w:left w:val="none" w:sz="0" w:space="0" w:color="auto"/>
        <w:bottom w:val="none" w:sz="0" w:space="0" w:color="auto"/>
        <w:right w:val="none" w:sz="0" w:space="0" w:color="auto"/>
      </w:divBdr>
      <w:divsChild>
        <w:div w:id="198976849">
          <w:marLeft w:val="0"/>
          <w:marRight w:val="0"/>
          <w:marTop w:val="0"/>
          <w:marBottom w:val="0"/>
          <w:divBdr>
            <w:top w:val="none" w:sz="0" w:space="0" w:color="auto"/>
            <w:left w:val="none" w:sz="0" w:space="0" w:color="auto"/>
            <w:bottom w:val="none" w:sz="0" w:space="0" w:color="auto"/>
            <w:right w:val="none" w:sz="0" w:space="0" w:color="auto"/>
          </w:divBdr>
        </w:div>
        <w:div w:id="431626872">
          <w:marLeft w:val="0"/>
          <w:marRight w:val="0"/>
          <w:marTop w:val="0"/>
          <w:marBottom w:val="0"/>
          <w:divBdr>
            <w:top w:val="none" w:sz="0" w:space="0" w:color="auto"/>
            <w:left w:val="none" w:sz="0" w:space="0" w:color="auto"/>
            <w:bottom w:val="none" w:sz="0" w:space="0" w:color="auto"/>
            <w:right w:val="none" w:sz="0" w:space="0" w:color="auto"/>
          </w:divBdr>
        </w:div>
        <w:div w:id="473789395">
          <w:marLeft w:val="0"/>
          <w:marRight w:val="0"/>
          <w:marTop w:val="0"/>
          <w:marBottom w:val="0"/>
          <w:divBdr>
            <w:top w:val="none" w:sz="0" w:space="0" w:color="auto"/>
            <w:left w:val="none" w:sz="0" w:space="0" w:color="auto"/>
            <w:bottom w:val="none" w:sz="0" w:space="0" w:color="auto"/>
            <w:right w:val="none" w:sz="0" w:space="0" w:color="auto"/>
          </w:divBdr>
        </w:div>
      </w:divsChild>
    </w:div>
    <w:div w:id="552959209">
      <w:bodyDiv w:val="1"/>
      <w:marLeft w:val="0"/>
      <w:marRight w:val="0"/>
      <w:marTop w:val="0"/>
      <w:marBottom w:val="0"/>
      <w:divBdr>
        <w:top w:val="none" w:sz="0" w:space="0" w:color="auto"/>
        <w:left w:val="none" w:sz="0" w:space="0" w:color="auto"/>
        <w:bottom w:val="none" w:sz="0" w:space="0" w:color="auto"/>
        <w:right w:val="none" w:sz="0" w:space="0" w:color="auto"/>
      </w:divBdr>
    </w:div>
    <w:div w:id="554661172">
      <w:bodyDiv w:val="1"/>
      <w:marLeft w:val="0"/>
      <w:marRight w:val="0"/>
      <w:marTop w:val="0"/>
      <w:marBottom w:val="0"/>
      <w:divBdr>
        <w:top w:val="none" w:sz="0" w:space="0" w:color="auto"/>
        <w:left w:val="none" w:sz="0" w:space="0" w:color="auto"/>
        <w:bottom w:val="none" w:sz="0" w:space="0" w:color="auto"/>
        <w:right w:val="none" w:sz="0" w:space="0" w:color="auto"/>
      </w:divBdr>
    </w:div>
    <w:div w:id="575168009">
      <w:bodyDiv w:val="1"/>
      <w:marLeft w:val="0"/>
      <w:marRight w:val="0"/>
      <w:marTop w:val="0"/>
      <w:marBottom w:val="0"/>
      <w:divBdr>
        <w:top w:val="none" w:sz="0" w:space="0" w:color="auto"/>
        <w:left w:val="none" w:sz="0" w:space="0" w:color="auto"/>
        <w:bottom w:val="none" w:sz="0" w:space="0" w:color="auto"/>
        <w:right w:val="none" w:sz="0" w:space="0" w:color="auto"/>
      </w:divBdr>
    </w:div>
    <w:div w:id="576328757">
      <w:bodyDiv w:val="1"/>
      <w:marLeft w:val="0"/>
      <w:marRight w:val="0"/>
      <w:marTop w:val="0"/>
      <w:marBottom w:val="0"/>
      <w:divBdr>
        <w:top w:val="none" w:sz="0" w:space="0" w:color="auto"/>
        <w:left w:val="none" w:sz="0" w:space="0" w:color="auto"/>
        <w:bottom w:val="none" w:sz="0" w:space="0" w:color="auto"/>
        <w:right w:val="none" w:sz="0" w:space="0" w:color="auto"/>
      </w:divBdr>
    </w:div>
    <w:div w:id="581330086">
      <w:bodyDiv w:val="1"/>
      <w:marLeft w:val="0"/>
      <w:marRight w:val="0"/>
      <w:marTop w:val="0"/>
      <w:marBottom w:val="0"/>
      <w:divBdr>
        <w:top w:val="none" w:sz="0" w:space="0" w:color="auto"/>
        <w:left w:val="none" w:sz="0" w:space="0" w:color="auto"/>
        <w:bottom w:val="none" w:sz="0" w:space="0" w:color="auto"/>
        <w:right w:val="none" w:sz="0" w:space="0" w:color="auto"/>
      </w:divBdr>
    </w:div>
    <w:div w:id="593324858">
      <w:bodyDiv w:val="1"/>
      <w:marLeft w:val="0"/>
      <w:marRight w:val="0"/>
      <w:marTop w:val="0"/>
      <w:marBottom w:val="0"/>
      <w:divBdr>
        <w:top w:val="none" w:sz="0" w:space="0" w:color="auto"/>
        <w:left w:val="none" w:sz="0" w:space="0" w:color="auto"/>
        <w:bottom w:val="none" w:sz="0" w:space="0" w:color="auto"/>
        <w:right w:val="none" w:sz="0" w:space="0" w:color="auto"/>
      </w:divBdr>
    </w:div>
    <w:div w:id="611715530">
      <w:bodyDiv w:val="1"/>
      <w:marLeft w:val="0"/>
      <w:marRight w:val="0"/>
      <w:marTop w:val="0"/>
      <w:marBottom w:val="0"/>
      <w:divBdr>
        <w:top w:val="none" w:sz="0" w:space="0" w:color="auto"/>
        <w:left w:val="none" w:sz="0" w:space="0" w:color="auto"/>
        <w:bottom w:val="none" w:sz="0" w:space="0" w:color="auto"/>
        <w:right w:val="none" w:sz="0" w:space="0" w:color="auto"/>
      </w:divBdr>
    </w:div>
    <w:div w:id="624311711">
      <w:bodyDiv w:val="1"/>
      <w:marLeft w:val="0"/>
      <w:marRight w:val="0"/>
      <w:marTop w:val="0"/>
      <w:marBottom w:val="0"/>
      <w:divBdr>
        <w:top w:val="none" w:sz="0" w:space="0" w:color="auto"/>
        <w:left w:val="none" w:sz="0" w:space="0" w:color="auto"/>
        <w:bottom w:val="none" w:sz="0" w:space="0" w:color="auto"/>
        <w:right w:val="none" w:sz="0" w:space="0" w:color="auto"/>
      </w:divBdr>
    </w:div>
    <w:div w:id="640504855">
      <w:bodyDiv w:val="1"/>
      <w:marLeft w:val="0"/>
      <w:marRight w:val="0"/>
      <w:marTop w:val="0"/>
      <w:marBottom w:val="0"/>
      <w:divBdr>
        <w:top w:val="none" w:sz="0" w:space="0" w:color="auto"/>
        <w:left w:val="none" w:sz="0" w:space="0" w:color="auto"/>
        <w:bottom w:val="none" w:sz="0" w:space="0" w:color="auto"/>
        <w:right w:val="none" w:sz="0" w:space="0" w:color="auto"/>
      </w:divBdr>
    </w:div>
    <w:div w:id="656498545">
      <w:bodyDiv w:val="1"/>
      <w:marLeft w:val="0"/>
      <w:marRight w:val="0"/>
      <w:marTop w:val="0"/>
      <w:marBottom w:val="0"/>
      <w:divBdr>
        <w:top w:val="none" w:sz="0" w:space="0" w:color="auto"/>
        <w:left w:val="none" w:sz="0" w:space="0" w:color="auto"/>
        <w:bottom w:val="none" w:sz="0" w:space="0" w:color="auto"/>
        <w:right w:val="none" w:sz="0" w:space="0" w:color="auto"/>
      </w:divBdr>
    </w:div>
    <w:div w:id="670639042">
      <w:bodyDiv w:val="1"/>
      <w:marLeft w:val="0"/>
      <w:marRight w:val="0"/>
      <w:marTop w:val="0"/>
      <w:marBottom w:val="0"/>
      <w:divBdr>
        <w:top w:val="none" w:sz="0" w:space="0" w:color="auto"/>
        <w:left w:val="none" w:sz="0" w:space="0" w:color="auto"/>
        <w:bottom w:val="none" w:sz="0" w:space="0" w:color="auto"/>
        <w:right w:val="none" w:sz="0" w:space="0" w:color="auto"/>
      </w:divBdr>
    </w:div>
    <w:div w:id="678965553">
      <w:bodyDiv w:val="1"/>
      <w:marLeft w:val="0"/>
      <w:marRight w:val="0"/>
      <w:marTop w:val="0"/>
      <w:marBottom w:val="0"/>
      <w:divBdr>
        <w:top w:val="none" w:sz="0" w:space="0" w:color="auto"/>
        <w:left w:val="none" w:sz="0" w:space="0" w:color="auto"/>
        <w:bottom w:val="none" w:sz="0" w:space="0" w:color="auto"/>
        <w:right w:val="none" w:sz="0" w:space="0" w:color="auto"/>
      </w:divBdr>
    </w:div>
    <w:div w:id="710689732">
      <w:bodyDiv w:val="1"/>
      <w:marLeft w:val="0"/>
      <w:marRight w:val="0"/>
      <w:marTop w:val="0"/>
      <w:marBottom w:val="0"/>
      <w:divBdr>
        <w:top w:val="none" w:sz="0" w:space="0" w:color="auto"/>
        <w:left w:val="none" w:sz="0" w:space="0" w:color="auto"/>
        <w:bottom w:val="none" w:sz="0" w:space="0" w:color="auto"/>
        <w:right w:val="none" w:sz="0" w:space="0" w:color="auto"/>
      </w:divBdr>
    </w:div>
    <w:div w:id="720831760">
      <w:bodyDiv w:val="1"/>
      <w:marLeft w:val="0"/>
      <w:marRight w:val="0"/>
      <w:marTop w:val="0"/>
      <w:marBottom w:val="0"/>
      <w:divBdr>
        <w:top w:val="none" w:sz="0" w:space="0" w:color="auto"/>
        <w:left w:val="none" w:sz="0" w:space="0" w:color="auto"/>
        <w:bottom w:val="none" w:sz="0" w:space="0" w:color="auto"/>
        <w:right w:val="none" w:sz="0" w:space="0" w:color="auto"/>
      </w:divBdr>
      <w:divsChild>
        <w:div w:id="488788974">
          <w:marLeft w:val="0"/>
          <w:marRight w:val="0"/>
          <w:marTop w:val="0"/>
          <w:marBottom w:val="0"/>
          <w:divBdr>
            <w:top w:val="none" w:sz="0" w:space="0" w:color="auto"/>
            <w:left w:val="none" w:sz="0" w:space="0" w:color="auto"/>
            <w:bottom w:val="none" w:sz="0" w:space="0" w:color="auto"/>
            <w:right w:val="none" w:sz="0" w:space="0" w:color="auto"/>
          </w:divBdr>
        </w:div>
        <w:div w:id="1392188705">
          <w:marLeft w:val="0"/>
          <w:marRight w:val="0"/>
          <w:marTop w:val="0"/>
          <w:marBottom w:val="0"/>
          <w:divBdr>
            <w:top w:val="none" w:sz="0" w:space="0" w:color="auto"/>
            <w:left w:val="none" w:sz="0" w:space="0" w:color="auto"/>
            <w:bottom w:val="none" w:sz="0" w:space="0" w:color="auto"/>
            <w:right w:val="none" w:sz="0" w:space="0" w:color="auto"/>
          </w:divBdr>
        </w:div>
        <w:div w:id="1614899303">
          <w:marLeft w:val="0"/>
          <w:marRight w:val="0"/>
          <w:marTop w:val="0"/>
          <w:marBottom w:val="0"/>
          <w:divBdr>
            <w:top w:val="none" w:sz="0" w:space="0" w:color="auto"/>
            <w:left w:val="none" w:sz="0" w:space="0" w:color="auto"/>
            <w:bottom w:val="none" w:sz="0" w:space="0" w:color="auto"/>
            <w:right w:val="none" w:sz="0" w:space="0" w:color="auto"/>
          </w:divBdr>
        </w:div>
        <w:div w:id="2145538345">
          <w:marLeft w:val="0"/>
          <w:marRight w:val="0"/>
          <w:marTop w:val="0"/>
          <w:marBottom w:val="0"/>
          <w:divBdr>
            <w:top w:val="none" w:sz="0" w:space="0" w:color="auto"/>
            <w:left w:val="none" w:sz="0" w:space="0" w:color="auto"/>
            <w:bottom w:val="none" w:sz="0" w:space="0" w:color="auto"/>
            <w:right w:val="none" w:sz="0" w:space="0" w:color="auto"/>
          </w:divBdr>
        </w:div>
      </w:divsChild>
    </w:div>
    <w:div w:id="735132247">
      <w:bodyDiv w:val="1"/>
      <w:marLeft w:val="0"/>
      <w:marRight w:val="0"/>
      <w:marTop w:val="0"/>
      <w:marBottom w:val="0"/>
      <w:divBdr>
        <w:top w:val="none" w:sz="0" w:space="0" w:color="auto"/>
        <w:left w:val="none" w:sz="0" w:space="0" w:color="auto"/>
        <w:bottom w:val="none" w:sz="0" w:space="0" w:color="auto"/>
        <w:right w:val="none" w:sz="0" w:space="0" w:color="auto"/>
      </w:divBdr>
    </w:div>
    <w:div w:id="736788111">
      <w:bodyDiv w:val="1"/>
      <w:marLeft w:val="0"/>
      <w:marRight w:val="0"/>
      <w:marTop w:val="0"/>
      <w:marBottom w:val="0"/>
      <w:divBdr>
        <w:top w:val="none" w:sz="0" w:space="0" w:color="auto"/>
        <w:left w:val="none" w:sz="0" w:space="0" w:color="auto"/>
        <w:bottom w:val="none" w:sz="0" w:space="0" w:color="auto"/>
        <w:right w:val="none" w:sz="0" w:space="0" w:color="auto"/>
      </w:divBdr>
    </w:div>
    <w:div w:id="740636345">
      <w:bodyDiv w:val="1"/>
      <w:marLeft w:val="0"/>
      <w:marRight w:val="0"/>
      <w:marTop w:val="0"/>
      <w:marBottom w:val="0"/>
      <w:divBdr>
        <w:top w:val="none" w:sz="0" w:space="0" w:color="auto"/>
        <w:left w:val="none" w:sz="0" w:space="0" w:color="auto"/>
        <w:bottom w:val="none" w:sz="0" w:space="0" w:color="auto"/>
        <w:right w:val="none" w:sz="0" w:space="0" w:color="auto"/>
      </w:divBdr>
    </w:div>
    <w:div w:id="773943609">
      <w:bodyDiv w:val="1"/>
      <w:marLeft w:val="0"/>
      <w:marRight w:val="0"/>
      <w:marTop w:val="0"/>
      <w:marBottom w:val="0"/>
      <w:divBdr>
        <w:top w:val="none" w:sz="0" w:space="0" w:color="auto"/>
        <w:left w:val="none" w:sz="0" w:space="0" w:color="auto"/>
        <w:bottom w:val="none" w:sz="0" w:space="0" w:color="auto"/>
        <w:right w:val="none" w:sz="0" w:space="0" w:color="auto"/>
      </w:divBdr>
    </w:div>
    <w:div w:id="819272095">
      <w:bodyDiv w:val="1"/>
      <w:marLeft w:val="0"/>
      <w:marRight w:val="0"/>
      <w:marTop w:val="0"/>
      <w:marBottom w:val="0"/>
      <w:divBdr>
        <w:top w:val="none" w:sz="0" w:space="0" w:color="auto"/>
        <w:left w:val="none" w:sz="0" w:space="0" w:color="auto"/>
        <w:bottom w:val="none" w:sz="0" w:space="0" w:color="auto"/>
        <w:right w:val="none" w:sz="0" w:space="0" w:color="auto"/>
      </w:divBdr>
    </w:div>
    <w:div w:id="829443217">
      <w:bodyDiv w:val="1"/>
      <w:marLeft w:val="0"/>
      <w:marRight w:val="0"/>
      <w:marTop w:val="0"/>
      <w:marBottom w:val="0"/>
      <w:divBdr>
        <w:top w:val="none" w:sz="0" w:space="0" w:color="auto"/>
        <w:left w:val="none" w:sz="0" w:space="0" w:color="auto"/>
        <w:bottom w:val="none" w:sz="0" w:space="0" w:color="auto"/>
        <w:right w:val="none" w:sz="0" w:space="0" w:color="auto"/>
      </w:divBdr>
    </w:div>
    <w:div w:id="829560372">
      <w:bodyDiv w:val="1"/>
      <w:marLeft w:val="0"/>
      <w:marRight w:val="0"/>
      <w:marTop w:val="0"/>
      <w:marBottom w:val="0"/>
      <w:divBdr>
        <w:top w:val="none" w:sz="0" w:space="0" w:color="auto"/>
        <w:left w:val="none" w:sz="0" w:space="0" w:color="auto"/>
        <w:bottom w:val="none" w:sz="0" w:space="0" w:color="auto"/>
        <w:right w:val="none" w:sz="0" w:space="0" w:color="auto"/>
      </w:divBdr>
    </w:div>
    <w:div w:id="830608896">
      <w:bodyDiv w:val="1"/>
      <w:marLeft w:val="0"/>
      <w:marRight w:val="0"/>
      <w:marTop w:val="0"/>
      <w:marBottom w:val="0"/>
      <w:divBdr>
        <w:top w:val="none" w:sz="0" w:space="0" w:color="auto"/>
        <w:left w:val="none" w:sz="0" w:space="0" w:color="auto"/>
        <w:bottom w:val="none" w:sz="0" w:space="0" w:color="auto"/>
        <w:right w:val="none" w:sz="0" w:space="0" w:color="auto"/>
      </w:divBdr>
    </w:div>
    <w:div w:id="832070618">
      <w:bodyDiv w:val="1"/>
      <w:marLeft w:val="0"/>
      <w:marRight w:val="0"/>
      <w:marTop w:val="0"/>
      <w:marBottom w:val="0"/>
      <w:divBdr>
        <w:top w:val="none" w:sz="0" w:space="0" w:color="auto"/>
        <w:left w:val="none" w:sz="0" w:space="0" w:color="auto"/>
        <w:bottom w:val="none" w:sz="0" w:space="0" w:color="auto"/>
        <w:right w:val="none" w:sz="0" w:space="0" w:color="auto"/>
      </w:divBdr>
    </w:div>
    <w:div w:id="838350295">
      <w:bodyDiv w:val="1"/>
      <w:marLeft w:val="0"/>
      <w:marRight w:val="0"/>
      <w:marTop w:val="0"/>
      <w:marBottom w:val="0"/>
      <w:divBdr>
        <w:top w:val="none" w:sz="0" w:space="0" w:color="auto"/>
        <w:left w:val="none" w:sz="0" w:space="0" w:color="auto"/>
        <w:bottom w:val="none" w:sz="0" w:space="0" w:color="auto"/>
        <w:right w:val="none" w:sz="0" w:space="0" w:color="auto"/>
      </w:divBdr>
      <w:divsChild>
        <w:div w:id="335352355">
          <w:marLeft w:val="0"/>
          <w:marRight w:val="0"/>
          <w:marTop w:val="0"/>
          <w:marBottom w:val="0"/>
          <w:divBdr>
            <w:top w:val="none" w:sz="0" w:space="0" w:color="auto"/>
            <w:left w:val="none" w:sz="0" w:space="0" w:color="auto"/>
            <w:bottom w:val="none" w:sz="0" w:space="0" w:color="auto"/>
            <w:right w:val="none" w:sz="0" w:space="0" w:color="auto"/>
          </w:divBdr>
        </w:div>
        <w:div w:id="1243756170">
          <w:marLeft w:val="0"/>
          <w:marRight w:val="0"/>
          <w:marTop w:val="0"/>
          <w:marBottom w:val="0"/>
          <w:divBdr>
            <w:top w:val="none" w:sz="0" w:space="0" w:color="auto"/>
            <w:left w:val="none" w:sz="0" w:space="0" w:color="auto"/>
            <w:bottom w:val="none" w:sz="0" w:space="0" w:color="auto"/>
            <w:right w:val="none" w:sz="0" w:space="0" w:color="auto"/>
          </w:divBdr>
        </w:div>
        <w:div w:id="1492286664">
          <w:marLeft w:val="0"/>
          <w:marRight w:val="0"/>
          <w:marTop w:val="0"/>
          <w:marBottom w:val="0"/>
          <w:divBdr>
            <w:top w:val="none" w:sz="0" w:space="0" w:color="auto"/>
            <w:left w:val="none" w:sz="0" w:space="0" w:color="auto"/>
            <w:bottom w:val="none" w:sz="0" w:space="0" w:color="auto"/>
            <w:right w:val="none" w:sz="0" w:space="0" w:color="auto"/>
          </w:divBdr>
        </w:div>
        <w:div w:id="1717118714">
          <w:marLeft w:val="0"/>
          <w:marRight w:val="0"/>
          <w:marTop w:val="0"/>
          <w:marBottom w:val="0"/>
          <w:divBdr>
            <w:top w:val="none" w:sz="0" w:space="0" w:color="auto"/>
            <w:left w:val="none" w:sz="0" w:space="0" w:color="auto"/>
            <w:bottom w:val="none" w:sz="0" w:space="0" w:color="auto"/>
            <w:right w:val="none" w:sz="0" w:space="0" w:color="auto"/>
          </w:divBdr>
        </w:div>
      </w:divsChild>
    </w:div>
    <w:div w:id="858202125">
      <w:bodyDiv w:val="1"/>
      <w:marLeft w:val="0"/>
      <w:marRight w:val="0"/>
      <w:marTop w:val="0"/>
      <w:marBottom w:val="0"/>
      <w:divBdr>
        <w:top w:val="none" w:sz="0" w:space="0" w:color="auto"/>
        <w:left w:val="none" w:sz="0" w:space="0" w:color="auto"/>
        <w:bottom w:val="none" w:sz="0" w:space="0" w:color="auto"/>
        <w:right w:val="none" w:sz="0" w:space="0" w:color="auto"/>
      </w:divBdr>
      <w:divsChild>
        <w:div w:id="32730911">
          <w:marLeft w:val="0"/>
          <w:marRight w:val="0"/>
          <w:marTop w:val="0"/>
          <w:marBottom w:val="0"/>
          <w:divBdr>
            <w:top w:val="none" w:sz="0" w:space="0" w:color="auto"/>
            <w:left w:val="none" w:sz="0" w:space="0" w:color="auto"/>
            <w:bottom w:val="none" w:sz="0" w:space="0" w:color="auto"/>
            <w:right w:val="none" w:sz="0" w:space="0" w:color="auto"/>
          </w:divBdr>
        </w:div>
        <w:div w:id="59596908">
          <w:marLeft w:val="0"/>
          <w:marRight w:val="0"/>
          <w:marTop w:val="0"/>
          <w:marBottom w:val="0"/>
          <w:divBdr>
            <w:top w:val="none" w:sz="0" w:space="0" w:color="auto"/>
            <w:left w:val="none" w:sz="0" w:space="0" w:color="auto"/>
            <w:bottom w:val="none" w:sz="0" w:space="0" w:color="auto"/>
            <w:right w:val="none" w:sz="0" w:space="0" w:color="auto"/>
          </w:divBdr>
        </w:div>
        <w:div w:id="89014280">
          <w:marLeft w:val="0"/>
          <w:marRight w:val="0"/>
          <w:marTop w:val="0"/>
          <w:marBottom w:val="0"/>
          <w:divBdr>
            <w:top w:val="none" w:sz="0" w:space="0" w:color="auto"/>
            <w:left w:val="none" w:sz="0" w:space="0" w:color="auto"/>
            <w:bottom w:val="none" w:sz="0" w:space="0" w:color="auto"/>
            <w:right w:val="none" w:sz="0" w:space="0" w:color="auto"/>
          </w:divBdr>
        </w:div>
        <w:div w:id="111828606">
          <w:marLeft w:val="0"/>
          <w:marRight w:val="0"/>
          <w:marTop w:val="0"/>
          <w:marBottom w:val="0"/>
          <w:divBdr>
            <w:top w:val="none" w:sz="0" w:space="0" w:color="auto"/>
            <w:left w:val="none" w:sz="0" w:space="0" w:color="auto"/>
            <w:bottom w:val="none" w:sz="0" w:space="0" w:color="auto"/>
            <w:right w:val="none" w:sz="0" w:space="0" w:color="auto"/>
          </w:divBdr>
        </w:div>
        <w:div w:id="147943807">
          <w:marLeft w:val="0"/>
          <w:marRight w:val="0"/>
          <w:marTop w:val="0"/>
          <w:marBottom w:val="0"/>
          <w:divBdr>
            <w:top w:val="none" w:sz="0" w:space="0" w:color="auto"/>
            <w:left w:val="none" w:sz="0" w:space="0" w:color="auto"/>
            <w:bottom w:val="none" w:sz="0" w:space="0" w:color="auto"/>
            <w:right w:val="none" w:sz="0" w:space="0" w:color="auto"/>
          </w:divBdr>
        </w:div>
        <w:div w:id="148983139">
          <w:marLeft w:val="0"/>
          <w:marRight w:val="0"/>
          <w:marTop w:val="0"/>
          <w:marBottom w:val="0"/>
          <w:divBdr>
            <w:top w:val="none" w:sz="0" w:space="0" w:color="auto"/>
            <w:left w:val="none" w:sz="0" w:space="0" w:color="auto"/>
            <w:bottom w:val="none" w:sz="0" w:space="0" w:color="auto"/>
            <w:right w:val="none" w:sz="0" w:space="0" w:color="auto"/>
          </w:divBdr>
        </w:div>
        <w:div w:id="159084411">
          <w:marLeft w:val="0"/>
          <w:marRight w:val="0"/>
          <w:marTop w:val="0"/>
          <w:marBottom w:val="0"/>
          <w:divBdr>
            <w:top w:val="none" w:sz="0" w:space="0" w:color="auto"/>
            <w:left w:val="none" w:sz="0" w:space="0" w:color="auto"/>
            <w:bottom w:val="none" w:sz="0" w:space="0" w:color="auto"/>
            <w:right w:val="none" w:sz="0" w:space="0" w:color="auto"/>
          </w:divBdr>
        </w:div>
        <w:div w:id="185487989">
          <w:marLeft w:val="0"/>
          <w:marRight w:val="0"/>
          <w:marTop w:val="0"/>
          <w:marBottom w:val="0"/>
          <w:divBdr>
            <w:top w:val="none" w:sz="0" w:space="0" w:color="auto"/>
            <w:left w:val="none" w:sz="0" w:space="0" w:color="auto"/>
            <w:bottom w:val="none" w:sz="0" w:space="0" w:color="auto"/>
            <w:right w:val="none" w:sz="0" w:space="0" w:color="auto"/>
          </w:divBdr>
        </w:div>
        <w:div w:id="340743056">
          <w:marLeft w:val="0"/>
          <w:marRight w:val="0"/>
          <w:marTop w:val="0"/>
          <w:marBottom w:val="0"/>
          <w:divBdr>
            <w:top w:val="none" w:sz="0" w:space="0" w:color="auto"/>
            <w:left w:val="none" w:sz="0" w:space="0" w:color="auto"/>
            <w:bottom w:val="none" w:sz="0" w:space="0" w:color="auto"/>
            <w:right w:val="none" w:sz="0" w:space="0" w:color="auto"/>
          </w:divBdr>
        </w:div>
        <w:div w:id="400640252">
          <w:marLeft w:val="0"/>
          <w:marRight w:val="0"/>
          <w:marTop w:val="0"/>
          <w:marBottom w:val="0"/>
          <w:divBdr>
            <w:top w:val="none" w:sz="0" w:space="0" w:color="auto"/>
            <w:left w:val="none" w:sz="0" w:space="0" w:color="auto"/>
            <w:bottom w:val="none" w:sz="0" w:space="0" w:color="auto"/>
            <w:right w:val="none" w:sz="0" w:space="0" w:color="auto"/>
          </w:divBdr>
        </w:div>
        <w:div w:id="439568583">
          <w:marLeft w:val="0"/>
          <w:marRight w:val="0"/>
          <w:marTop w:val="0"/>
          <w:marBottom w:val="0"/>
          <w:divBdr>
            <w:top w:val="none" w:sz="0" w:space="0" w:color="auto"/>
            <w:left w:val="none" w:sz="0" w:space="0" w:color="auto"/>
            <w:bottom w:val="none" w:sz="0" w:space="0" w:color="auto"/>
            <w:right w:val="none" w:sz="0" w:space="0" w:color="auto"/>
          </w:divBdr>
        </w:div>
        <w:div w:id="470559588">
          <w:marLeft w:val="0"/>
          <w:marRight w:val="0"/>
          <w:marTop w:val="0"/>
          <w:marBottom w:val="0"/>
          <w:divBdr>
            <w:top w:val="none" w:sz="0" w:space="0" w:color="auto"/>
            <w:left w:val="none" w:sz="0" w:space="0" w:color="auto"/>
            <w:bottom w:val="none" w:sz="0" w:space="0" w:color="auto"/>
            <w:right w:val="none" w:sz="0" w:space="0" w:color="auto"/>
          </w:divBdr>
        </w:div>
        <w:div w:id="490292383">
          <w:marLeft w:val="0"/>
          <w:marRight w:val="0"/>
          <w:marTop w:val="0"/>
          <w:marBottom w:val="0"/>
          <w:divBdr>
            <w:top w:val="none" w:sz="0" w:space="0" w:color="auto"/>
            <w:left w:val="none" w:sz="0" w:space="0" w:color="auto"/>
            <w:bottom w:val="none" w:sz="0" w:space="0" w:color="auto"/>
            <w:right w:val="none" w:sz="0" w:space="0" w:color="auto"/>
          </w:divBdr>
        </w:div>
        <w:div w:id="494686214">
          <w:marLeft w:val="0"/>
          <w:marRight w:val="0"/>
          <w:marTop w:val="0"/>
          <w:marBottom w:val="0"/>
          <w:divBdr>
            <w:top w:val="none" w:sz="0" w:space="0" w:color="auto"/>
            <w:left w:val="none" w:sz="0" w:space="0" w:color="auto"/>
            <w:bottom w:val="none" w:sz="0" w:space="0" w:color="auto"/>
            <w:right w:val="none" w:sz="0" w:space="0" w:color="auto"/>
          </w:divBdr>
        </w:div>
        <w:div w:id="504170180">
          <w:marLeft w:val="0"/>
          <w:marRight w:val="0"/>
          <w:marTop w:val="0"/>
          <w:marBottom w:val="0"/>
          <w:divBdr>
            <w:top w:val="none" w:sz="0" w:space="0" w:color="auto"/>
            <w:left w:val="none" w:sz="0" w:space="0" w:color="auto"/>
            <w:bottom w:val="none" w:sz="0" w:space="0" w:color="auto"/>
            <w:right w:val="none" w:sz="0" w:space="0" w:color="auto"/>
          </w:divBdr>
        </w:div>
        <w:div w:id="695086000">
          <w:marLeft w:val="0"/>
          <w:marRight w:val="0"/>
          <w:marTop w:val="0"/>
          <w:marBottom w:val="0"/>
          <w:divBdr>
            <w:top w:val="none" w:sz="0" w:space="0" w:color="auto"/>
            <w:left w:val="none" w:sz="0" w:space="0" w:color="auto"/>
            <w:bottom w:val="none" w:sz="0" w:space="0" w:color="auto"/>
            <w:right w:val="none" w:sz="0" w:space="0" w:color="auto"/>
          </w:divBdr>
        </w:div>
        <w:div w:id="711927777">
          <w:marLeft w:val="0"/>
          <w:marRight w:val="0"/>
          <w:marTop w:val="0"/>
          <w:marBottom w:val="0"/>
          <w:divBdr>
            <w:top w:val="none" w:sz="0" w:space="0" w:color="auto"/>
            <w:left w:val="none" w:sz="0" w:space="0" w:color="auto"/>
            <w:bottom w:val="none" w:sz="0" w:space="0" w:color="auto"/>
            <w:right w:val="none" w:sz="0" w:space="0" w:color="auto"/>
          </w:divBdr>
        </w:div>
        <w:div w:id="752894726">
          <w:marLeft w:val="0"/>
          <w:marRight w:val="0"/>
          <w:marTop w:val="0"/>
          <w:marBottom w:val="0"/>
          <w:divBdr>
            <w:top w:val="none" w:sz="0" w:space="0" w:color="auto"/>
            <w:left w:val="none" w:sz="0" w:space="0" w:color="auto"/>
            <w:bottom w:val="none" w:sz="0" w:space="0" w:color="auto"/>
            <w:right w:val="none" w:sz="0" w:space="0" w:color="auto"/>
          </w:divBdr>
        </w:div>
        <w:div w:id="783503897">
          <w:marLeft w:val="0"/>
          <w:marRight w:val="0"/>
          <w:marTop w:val="0"/>
          <w:marBottom w:val="0"/>
          <w:divBdr>
            <w:top w:val="none" w:sz="0" w:space="0" w:color="auto"/>
            <w:left w:val="none" w:sz="0" w:space="0" w:color="auto"/>
            <w:bottom w:val="none" w:sz="0" w:space="0" w:color="auto"/>
            <w:right w:val="none" w:sz="0" w:space="0" w:color="auto"/>
          </w:divBdr>
        </w:div>
        <w:div w:id="913200701">
          <w:marLeft w:val="0"/>
          <w:marRight w:val="0"/>
          <w:marTop w:val="0"/>
          <w:marBottom w:val="0"/>
          <w:divBdr>
            <w:top w:val="none" w:sz="0" w:space="0" w:color="auto"/>
            <w:left w:val="none" w:sz="0" w:space="0" w:color="auto"/>
            <w:bottom w:val="none" w:sz="0" w:space="0" w:color="auto"/>
            <w:right w:val="none" w:sz="0" w:space="0" w:color="auto"/>
          </w:divBdr>
        </w:div>
        <w:div w:id="1097025304">
          <w:marLeft w:val="0"/>
          <w:marRight w:val="0"/>
          <w:marTop w:val="0"/>
          <w:marBottom w:val="0"/>
          <w:divBdr>
            <w:top w:val="none" w:sz="0" w:space="0" w:color="auto"/>
            <w:left w:val="none" w:sz="0" w:space="0" w:color="auto"/>
            <w:bottom w:val="none" w:sz="0" w:space="0" w:color="auto"/>
            <w:right w:val="none" w:sz="0" w:space="0" w:color="auto"/>
          </w:divBdr>
        </w:div>
        <w:div w:id="1134374327">
          <w:marLeft w:val="0"/>
          <w:marRight w:val="0"/>
          <w:marTop w:val="0"/>
          <w:marBottom w:val="0"/>
          <w:divBdr>
            <w:top w:val="none" w:sz="0" w:space="0" w:color="auto"/>
            <w:left w:val="none" w:sz="0" w:space="0" w:color="auto"/>
            <w:bottom w:val="none" w:sz="0" w:space="0" w:color="auto"/>
            <w:right w:val="none" w:sz="0" w:space="0" w:color="auto"/>
          </w:divBdr>
        </w:div>
        <w:div w:id="1219898340">
          <w:marLeft w:val="0"/>
          <w:marRight w:val="0"/>
          <w:marTop w:val="0"/>
          <w:marBottom w:val="0"/>
          <w:divBdr>
            <w:top w:val="none" w:sz="0" w:space="0" w:color="auto"/>
            <w:left w:val="none" w:sz="0" w:space="0" w:color="auto"/>
            <w:bottom w:val="none" w:sz="0" w:space="0" w:color="auto"/>
            <w:right w:val="none" w:sz="0" w:space="0" w:color="auto"/>
          </w:divBdr>
        </w:div>
        <w:div w:id="1309630356">
          <w:marLeft w:val="0"/>
          <w:marRight w:val="0"/>
          <w:marTop w:val="0"/>
          <w:marBottom w:val="0"/>
          <w:divBdr>
            <w:top w:val="none" w:sz="0" w:space="0" w:color="auto"/>
            <w:left w:val="none" w:sz="0" w:space="0" w:color="auto"/>
            <w:bottom w:val="none" w:sz="0" w:space="0" w:color="auto"/>
            <w:right w:val="none" w:sz="0" w:space="0" w:color="auto"/>
          </w:divBdr>
        </w:div>
        <w:div w:id="1337881236">
          <w:marLeft w:val="0"/>
          <w:marRight w:val="0"/>
          <w:marTop w:val="0"/>
          <w:marBottom w:val="0"/>
          <w:divBdr>
            <w:top w:val="none" w:sz="0" w:space="0" w:color="auto"/>
            <w:left w:val="none" w:sz="0" w:space="0" w:color="auto"/>
            <w:bottom w:val="none" w:sz="0" w:space="0" w:color="auto"/>
            <w:right w:val="none" w:sz="0" w:space="0" w:color="auto"/>
          </w:divBdr>
        </w:div>
        <w:div w:id="1355961809">
          <w:marLeft w:val="0"/>
          <w:marRight w:val="0"/>
          <w:marTop w:val="0"/>
          <w:marBottom w:val="0"/>
          <w:divBdr>
            <w:top w:val="none" w:sz="0" w:space="0" w:color="auto"/>
            <w:left w:val="none" w:sz="0" w:space="0" w:color="auto"/>
            <w:bottom w:val="none" w:sz="0" w:space="0" w:color="auto"/>
            <w:right w:val="none" w:sz="0" w:space="0" w:color="auto"/>
          </w:divBdr>
        </w:div>
        <w:div w:id="1451127281">
          <w:marLeft w:val="0"/>
          <w:marRight w:val="0"/>
          <w:marTop w:val="0"/>
          <w:marBottom w:val="0"/>
          <w:divBdr>
            <w:top w:val="none" w:sz="0" w:space="0" w:color="auto"/>
            <w:left w:val="none" w:sz="0" w:space="0" w:color="auto"/>
            <w:bottom w:val="none" w:sz="0" w:space="0" w:color="auto"/>
            <w:right w:val="none" w:sz="0" w:space="0" w:color="auto"/>
          </w:divBdr>
        </w:div>
        <w:div w:id="1544099365">
          <w:marLeft w:val="0"/>
          <w:marRight w:val="0"/>
          <w:marTop w:val="0"/>
          <w:marBottom w:val="0"/>
          <w:divBdr>
            <w:top w:val="none" w:sz="0" w:space="0" w:color="auto"/>
            <w:left w:val="none" w:sz="0" w:space="0" w:color="auto"/>
            <w:bottom w:val="none" w:sz="0" w:space="0" w:color="auto"/>
            <w:right w:val="none" w:sz="0" w:space="0" w:color="auto"/>
          </w:divBdr>
        </w:div>
        <w:div w:id="1544756935">
          <w:marLeft w:val="0"/>
          <w:marRight w:val="0"/>
          <w:marTop w:val="0"/>
          <w:marBottom w:val="0"/>
          <w:divBdr>
            <w:top w:val="none" w:sz="0" w:space="0" w:color="auto"/>
            <w:left w:val="none" w:sz="0" w:space="0" w:color="auto"/>
            <w:bottom w:val="none" w:sz="0" w:space="0" w:color="auto"/>
            <w:right w:val="none" w:sz="0" w:space="0" w:color="auto"/>
          </w:divBdr>
        </w:div>
        <w:div w:id="1562061270">
          <w:marLeft w:val="0"/>
          <w:marRight w:val="0"/>
          <w:marTop w:val="0"/>
          <w:marBottom w:val="0"/>
          <w:divBdr>
            <w:top w:val="none" w:sz="0" w:space="0" w:color="auto"/>
            <w:left w:val="none" w:sz="0" w:space="0" w:color="auto"/>
            <w:bottom w:val="none" w:sz="0" w:space="0" w:color="auto"/>
            <w:right w:val="none" w:sz="0" w:space="0" w:color="auto"/>
          </w:divBdr>
        </w:div>
        <w:div w:id="1568303589">
          <w:marLeft w:val="0"/>
          <w:marRight w:val="0"/>
          <w:marTop w:val="0"/>
          <w:marBottom w:val="0"/>
          <w:divBdr>
            <w:top w:val="none" w:sz="0" w:space="0" w:color="auto"/>
            <w:left w:val="none" w:sz="0" w:space="0" w:color="auto"/>
            <w:bottom w:val="none" w:sz="0" w:space="0" w:color="auto"/>
            <w:right w:val="none" w:sz="0" w:space="0" w:color="auto"/>
          </w:divBdr>
        </w:div>
        <w:div w:id="1697147400">
          <w:marLeft w:val="0"/>
          <w:marRight w:val="0"/>
          <w:marTop w:val="0"/>
          <w:marBottom w:val="0"/>
          <w:divBdr>
            <w:top w:val="none" w:sz="0" w:space="0" w:color="auto"/>
            <w:left w:val="none" w:sz="0" w:space="0" w:color="auto"/>
            <w:bottom w:val="none" w:sz="0" w:space="0" w:color="auto"/>
            <w:right w:val="none" w:sz="0" w:space="0" w:color="auto"/>
          </w:divBdr>
        </w:div>
        <w:div w:id="1768186925">
          <w:marLeft w:val="0"/>
          <w:marRight w:val="0"/>
          <w:marTop w:val="0"/>
          <w:marBottom w:val="0"/>
          <w:divBdr>
            <w:top w:val="none" w:sz="0" w:space="0" w:color="auto"/>
            <w:left w:val="none" w:sz="0" w:space="0" w:color="auto"/>
            <w:bottom w:val="none" w:sz="0" w:space="0" w:color="auto"/>
            <w:right w:val="none" w:sz="0" w:space="0" w:color="auto"/>
          </w:divBdr>
        </w:div>
        <w:div w:id="2025553754">
          <w:marLeft w:val="0"/>
          <w:marRight w:val="0"/>
          <w:marTop w:val="0"/>
          <w:marBottom w:val="0"/>
          <w:divBdr>
            <w:top w:val="none" w:sz="0" w:space="0" w:color="auto"/>
            <w:left w:val="none" w:sz="0" w:space="0" w:color="auto"/>
            <w:bottom w:val="none" w:sz="0" w:space="0" w:color="auto"/>
            <w:right w:val="none" w:sz="0" w:space="0" w:color="auto"/>
          </w:divBdr>
        </w:div>
      </w:divsChild>
    </w:div>
    <w:div w:id="862859648">
      <w:bodyDiv w:val="1"/>
      <w:marLeft w:val="0"/>
      <w:marRight w:val="0"/>
      <w:marTop w:val="0"/>
      <w:marBottom w:val="0"/>
      <w:divBdr>
        <w:top w:val="none" w:sz="0" w:space="0" w:color="auto"/>
        <w:left w:val="none" w:sz="0" w:space="0" w:color="auto"/>
        <w:bottom w:val="none" w:sz="0" w:space="0" w:color="auto"/>
        <w:right w:val="none" w:sz="0" w:space="0" w:color="auto"/>
      </w:divBdr>
    </w:div>
    <w:div w:id="878518560">
      <w:bodyDiv w:val="1"/>
      <w:marLeft w:val="0"/>
      <w:marRight w:val="0"/>
      <w:marTop w:val="0"/>
      <w:marBottom w:val="0"/>
      <w:divBdr>
        <w:top w:val="none" w:sz="0" w:space="0" w:color="auto"/>
        <w:left w:val="none" w:sz="0" w:space="0" w:color="auto"/>
        <w:bottom w:val="none" w:sz="0" w:space="0" w:color="auto"/>
        <w:right w:val="none" w:sz="0" w:space="0" w:color="auto"/>
      </w:divBdr>
    </w:div>
    <w:div w:id="906378045">
      <w:bodyDiv w:val="1"/>
      <w:marLeft w:val="0"/>
      <w:marRight w:val="0"/>
      <w:marTop w:val="0"/>
      <w:marBottom w:val="0"/>
      <w:divBdr>
        <w:top w:val="none" w:sz="0" w:space="0" w:color="auto"/>
        <w:left w:val="none" w:sz="0" w:space="0" w:color="auto"/>
        <w:bottom w:val="none" w:sz="0" w:space="0" w:color="auto"/>
        <w:right w:val="none" w:sz="0" w:space="0" w:color="auto"/>
      </w:divBdr>
    </w:div>
    <w:div w:id="911624658">
      <w:bodyDiv w:val="1"/>
      <w:marLeft w:val="0"/>
      <w:marRight w:val="0"/>
      <w:marTop w:val="0"/>
      <w:marBottom w:val="0"/>
      <w:divBdr>
        <w:top w:val="none" w:sz="0" w:space="0" w:color="auto"/>
        <w:left w:val="none" w:sz="0" w:space="0" w:color="auto"/>
        <w:bottom w:val="none" w:sz="0" w:space="0" w:color="auto"/>
        <w:right w:val="none" w:sz="0" w:space="0" w:color="auto"/>
      </w:divBdr>
    </w:div>
    <w:div w:id="950819835">
      <w:bodyDiv w:val="1"/>
      <w:marLeft w:val="0"/>
      <w:marRight w:val="0"/>
      <w:marTop w:val="0"/>
      <w:marBottom w:val="0"/>
      <w:divBdr>
        <w:top w:val="none" w:sz="0" w:space="0" w:color="auto"/>
        <w:left w:val="none" w:sz="0" w:space="0" w:color="auto"/>
        <w:bottom w:val="none" w:sz="0" w:space="0" w:color="auto"/>
        <w:right w:val="none" w:sz="0" w:space="0" w:color="auto"/>
      </w:divBdr>
    </w:div>
    <w:div w:id="959998899">
      <w:bodyDiv w:val="1"/>
      <w:marLeft w:val="0"/>
      <w:marRight w:val="0"/>
      <w:marTop w:val="0"/>
      <w:marBottom w:val="0"/>
      <w:divBdr>
        <w:top w:val="none" w:sz="0" w:space="0" w:color="auto"/>
        <w:left w:val="none" w:sz="0" w:space="0" w:color="auto"/>
        <w:bottom w:val="none" w:sz="0" w:space="0" w:color="auto"/>
        <w:right w:val="none" w:sz="0" w:space="0" w:color="auto"/>
      </w:divBdr>
    </w:div>
    <w:div w:id="1006791330">
      <w:bodyDiv w:val="1"/>
      <w:marLeft w:val="0"/>
      <w:marRight w:val="0"/>
      <w:marTop w:val="0"/>
      <w:marBottom w:val="0"/>
      <w:divBdr>
        <w:top w:val="none" w:sz="0" w:space="0" w:color="auto"/>
        <w:left w:val="none" w:sz="0" w:space="0" w:color="auto"/>
        <w:bottom w:val="none" w:sz="0" w:space="0" w:color="auto"/>
        <w:right w:val="none" w:sz="0" w:space="0" w:color="auto"/>
      </w:divBdr>
    </w:div>
    <w:div w:id="1020620355">
      <w:bodyDiv w:val="1"/>
      <w:marLeft w:val="0"/>
      <w:marRight w:val="0"/>
      <w:marTop w:val="0"/>
      <w:marBottom w:val="0"/>
      <w:divBdr>
        <w:top w:val="none" w:sz="0" w:space="0" w:color="auto"/>
        <w:left w:val="none" w:sz="0" w:space="0" w:color="auto"/>
        <w:bottom w:val="none" w:sz="0" w:space="0" w:color="auto"/>
        <w:right w:val="none" w:sz="0" w:space="0" w:color="auto"/>
      </w:divBdr>
    </w:div>
    <w:div w:id="1031805480">
      <w:bodyDiv w:val="1"/>
      <w:marLeft w:val="0"/>
      <w:marRight w:val="0"/>
      <w:marTop w:val="0"/>
      <w:marBottom w:val="0"/>
      <w:divBdr>
        <w:top w:val="none" w:sz="0" w:space="0" w:color="auto"/>
        <w:left w:val="none" w:sz="0" w:space="0" w:color="auto"/>
        <w:bottom w:val="none" w:sz="0" w:space="0" w:color="auto"/>
        <w:right w:val="none" w:sz="0" w:space="0" w:color="auto"/>
      </w:divBdr>
    </w:div>
    <w:div w:id="1054887047">
      <w:bodyDiv w:val="1"/>
      <w:marLeft w:val="0"/>
      <w:marRight w:val="0"/>
      <w:marTop w:val="0"/>
      <w:marBottom w:val="0"/>
      <w:divBdr>
        <w:top w:val="none" w:sz="0" w:space="0" w:color="auto"/>
        <w:left w:val="none" w:sz="0" w:space="0" w:color="auto"/>
        <w:bottom w:val="none" w:sz="0" w:space="0" w:color="auto"/>
        <w:right w:val="none" w:sz="0" w:space="0" w:color="auto"/>
      </w:divBdr>
      <w:divsChild>
        <w:div w:id="1386955729">
          <w:marLeft w:val="0"/>
          <w:marRight w:val="0"/>
          <w:marTop w:val="0"/>
          <w:marBottom w:val="0"/>
          <w:divBdr>
            <w:top w:val="none" w:sz="0" w:space="0" w:color="auto"/>
            <w:left w:val="none" w:sz="0" w:space="0" w:color="auto"/>
            <w:bottom w:val="none" w:sz="0" w:space="0" w:color="auto"/>
            <w:right w:val="none" w:sz="0" w:space="0" w:color="auto"/>
          </w:divBdr>
        </w:div>
      </w:divsChild>
    </w:div>
    <w:div w:id="1056660106">
      <w:bodyDiv w:val="1"/>
      <w:marLeft w:val="0"/>
      <w:marRight w:val="0"/>
      <w:marTop w:val="0"/>
      <w:marBottom w:val="0"/>
      <w:divBdr>
        <w:top w:val="none" w:sz="0" w:space="0" w:color="auto"/>
        <w:left w:val="none" w:sz="0" w:space="0" w:color="auto"/>
        <w:bottom w:val="none" w:sz="0" w:space="0" w:color="auto"/>
        <w:right w:val="none" w:sz="0" w:space="0" w:color="auto"/>
      </w:divBdr>
    </w:div>
    <w:div w:id="1056972070">
      <w:bodyDiv w:val="1"/>
      <w:marLeft w:val="0"/>
      <w:marRight w:val="0"/>
      <w:marTop w:val="0"/>
      <w:marBottom w:val="0"/>
      <w:divBdr>
        <w:top w:val="none" w:sz="0" w:space="0" w:color="auto"/>
        <w:left w:val="none" w:sz="0" w:space="0" w:color="auto"/>
        <w:bottom w:val="none" w:sz="0" w:space="0" w:color="auto"/>
        <w:right w:val="none" w:sz="0" w:space="0" w:color="auto"/>
      </w:divBdr>
    </w:div>
    <w:div w:id="1092967709">
      <w:bodyDiv w:val="1"/>
      <w:marLeft w:val="0"/>
      <w:marRight w:val="0"/>
      <w:marTop w:val="0"/>
      <w:marBottom w:val="0"/>
      <w:divBdr>
        <w:top w:val="none" w:sz="0" w:space="0" w:color="auto"/>
        <w:left w:val="none" w:sz="0" w:space="0" w:color="auto"/>
        <w:bottom w:val="none" w:sz="0" w:space="0" w:color="auto"/>
        <w:right w:val="none" w:sz="0" w:space="0" w:color="auto"/>
      </w:divBdr>
    </w:div>
    <w:div w:id="1107233312">
      <w:bodyDiv w:val="1"/>
      <w:marLeft w:val="0"/>
      <w:marRight w:val="0"/>
      <w:marTop w:val="0"/>
      <w:marBottom w:val="0"/>
      <w:divBdr>
        <w:top w:val="none" w:sz="0" w:space="0" w:color="auto"/>
        <w:left w:val="none" w:sz="0" w:space="0" w:color="auto"/>
        <w:bottom w:val="none" w:sz="0" w:space="0" w:color="auto"/>
        <w:right w:val="none" w:sz="0" w:space="0" w:color="auto"/>
      </w:divBdr>
    </w:div>
    <w:div w:id="1118069053">
      <w:bodyDiv w:val="1"/>
      <w:marLeft w:val="0"/>
      <w:marRight w:val="0"/>
      <w:marTop w:val="0"/>
      <w:marBottom w:val="0"/>
      <w:divBdr>
        <w:top w:val="none" w:sz="0" w:space="0" w:color="auto"/>
        <w:left w:val="none" w:sz="0" w:space="0" w:color="auto"/>
        <w:bottom w:val="none" w:sz="0" w:space="0" w:color="auto"/>
        <w:right w:val="none" w:sz="0" w:space="0" w:color="auto"/>
      </w:divBdr>
    </w:div>
    <w:div w:id="1123570936">
      <w:bodyDiv w:val="1"/>
      <w:marLeft w:val="0"/>
      <w:marRight w:val="0"/>
      <w:marTop w:val="0"/>
      <w:marBottom w:val="0"/>
      <w:divBdr>
        <w:top w:val="none" w:sz="0" w:space="0" w:color="auto"/>
        <w:left w:val="none" w:sz="0" w:space="0" w:color="auto"/>
        <w:bottom w:val="none" w:sz="0" w:space="0" w:color="auto"/>
        <w:right w:val="none" w:sz="0" w:space="0" w:color="auto"/>
      </w:divBdr>
    </w:div>
    <w:div w:id="1135754718">
      <w:bodyDiv w:val="1"/>
      <w:marLeft w:val="0"/>
      <w:marRight w:val="0"/>
      <w:marTop w:val="0"/>
      <w:marBottom w:val="0"/>
      <w:divBdr>
        <w:top w:val="none" w:sz="0" w:space="0" w:color="auto"/>
        <w:left w:val="none" w:sz="0" w:space="0" w:color="auto"/>
        <w:bottom w:val="none" w:sz="0" w:space="0" w:color="auto"/>
        <w:right w:val="none" w:sz="0" w:space="0" w:color="auto"/>
      </w:divBdr>
    </w:div>
    <w:div w:id="1156342802">
      <w:bodyDiv w:val="1"/>
      <w:marLeft w:val="0"/>
      <w:marRight w:val="0"/>
      <w:marTop w:val="0"/>
      <w:marBottom w:val="0"/>
      <w:divBdr>
        <w:top w:val="none" w:sz="0" w:space="0" w:color="auto"/>
        <w:left w:val="none" w:sz="0" w:space="0" w:color="auto"/>
        <w:bottom w:val="none" w:sz="0" w:space="0" w:color="auto"/>
        <w:right w:val="none" w:sz="0" w:space="0" w:color="auto"/>
      </w:divBdr>
    </w:div>
    <w:div w:id="1157453560">
      <w:bodyDiv w:val="1"/>
      <w:marLeft w:val="0"/>
      <w:marRight w:val="0"/>
      <w:marTop w:val="0"/>
      <w:marBottom w:val="0"/>
      <w:divBdr>
        <w:top w:val="none" w:sz="0" w:space="0" w:color="auto"/>
        <w:left w:val="none" w:sz="0" w:space="0" w:color="auto"/>
        <w:bottom w:val="none" w:sz="0" w:space="0" w:color="auto"/>
        <w:right w:val="none" w:sz="0" w:space="0" w:color="auto"/>
      </w:divBdr>
    </w:div>
    <w:div w:id="1159073708">
      <w:bodyDiv w:val="1"/>
      <w:marLeft w:val="0"/>
      <w:marRight w:val="0"/>
      <w:marTop w:val="0"/>
      <w:marBottom w:val="0"/>
      <w:divBdr>
        <w:top w:val="none" w:sz="0" w:space="0" w:color="auto"/>
        <w:left w:val="none" w:sz="0" w:space="0" w:color="auto"/>
        <w:bottom w:val="none" w:sz="0" w:space="0" w:color="auto"/>
        <w:right w:val="none" w:sz="0" w:space="0" w:color="auto"/>
      </w:divBdr>
    </w:div>
    <w:div w:id="1168866542">
      <w:bodyDiv w:val="1"/>
      <w:marLeft w:val="0"/>
      <w:marRight w:val="0"/>
      <w:marTop w:val="0"/>
      <w:marBottom w:val="0"/>
      <w:divBdr>
        <w:top w:val="none" w:sz="0" w:space="0" w:color="auto"/>
        <w:left w:val="none" w:sz="0" w:space="0" w:color="auto"/>
        <w:bottom w:val="none" w:sz="0" w:space="0" w:color="auto"/>
        <w:right w:val="none" w:sz="0" w:space="0" w:color="auto"/>
      </w:divBdr>
      <w:divsChild>
        <w:div w:id="206797628">
          <w:marLeft w:val="0"/>
          <w:marRight w:val="0"/>
          <w:marTop w:val="0"/>
          <w:marBottom w:val="0"/>
          <w:divBdr>
            <w:top w:val="none" w:sz="0" w:space="0" w:color="auto"/>
            <w:left w:val="none" w:sz="0" w:space="0" w:color="auto"/>
            <w:bottom w:val="none" w:sz="0" w:space="0" w:color="auto"/>
            <w:right w:val="none" w:sz="0" w:space="0" w:color="auto"/>
          </w:divBdr>
        </w:div>
        <w:div w:id="384986928">
          <w:marLeft w:val="0"/>
          <w:marRight w:val="0"/>
          <w:marTop w:val="0"/>
          <w:marBottom w:val="0"/>
          <w:divBdr>
            <w:top w:val="none" w:sz="0" w:space="0" w:color="auto"/>
            <w:left w:val="none" w:sz="0" w:space="0" w:color="auto"/>
            <w:bottom w:val="none" w:sz="0" w:space="0" w:color="auto"/>
            <w:right w:val="none" w:sz="0" w:space="0" w:color="auto"/>
          </w:divBdr>
        </w:div>
        <w:div w:id="414208453">
          <w:marLeft w:val="0"/>
          <w:marRight w:val="0"/>
          <w:marTop w:val="0"/>
          <w:marBottom w:val="0"/>
          <w:divBdr>
            <w:top w:val="none" w:sz="0" w:space="0" w:color="auto"/>
            <w:left w:val="none" w:sz="0" w:space="0" w:color="auto"/>
            <w:bottom w:val="none" w:sz="0" w:space="0" w:color="auto"/>
            <w:right w:val="none" w:sz="0" w:space="0" w:color="auto"/>
          </w:divBdr>
        </w:div>
        <w:div w:id="763920175">
          <w:marLeft w:val="0"/>
          <w:marRight w:val="0"/>
          <w:marTop w:val="0"/>
          <w:marBottom w:val="0"/>
          <w:divBdr>
            <w:top w:val="none" w:sz="0" w:space="0" w:color="auto"/>
            <w:left w:val="none" w:sz="0" w:space="0" w:color="auto"/>
            <w:bottom w:val="none" w:sz="0" w:space="0" w:color="auto"/>
            <w:right w:val="none" w:sz="0" w:space="0" w:color="auto"/>
          </w:divBdr>
        </w:div>
        <w:div w:id="894900368">
          <w:marLeft w:val="0"/>
          <w:marRight w:val="0"/>
          <w:marTop w:val="0"/>
          <w:marBottom w:val="0"/>
          <w:divBdr>
            <w:top w:val="none" w:sz="0" w:space="0" w:color="auto"/>
            <w:left w:val="none" w:sz="0" w:space="0" w:color="auto"/>
            <w:bottom w:val="none" w:sz="0" w:space="0" w:color="auto"/>
            <w:right w:val="none" w:sz="0" w:space="0" w:color="auto"/>
          </w:divBdr>
        </w:div>
        <w:div w:id="1068386658">
          <w:marLeft w:val="0"/>
          <w:marRight w:val="0"/>
          <w:marTop w:val="0"/>
          <w:marBottom w:val="0"/>
          <w:divBdr>
            <w:top w:val="none" w:sz="0" w:space="0" w:color="auto"/>
            <w:left w:val="none" w:sz="0" w:space="0" w:color="auto"/>
            <w:bottom w:val="none" w:sz="0" w:space="0" w:color="auto"/>
            <w:right w:val="none" w:sz="0" w:space="0" w:color="auto"/>
          </w:divBdr>
        </w:div>
        <w:div w:id="1272128823">
          <w:marLeft w:val="0"/>
          <w:marRight w:val="0"/>
          <w:marTop w:val="0"/>
          <w:marBottom w:val="0"/>
          <w:divBdr>
            <w:top w:val="none" w:sz="0" w:space="0" w:color="auto"/>
            <w:left w:val="none" w:sz="0" w:space="0" w:color="auto"/>
            <w:bottom w:val="none" w:sz="0" w:space="0" w:color="auto"/>
            <w:right w:val="none" w:sz="0" w:space="0" w:color="auto"/>
          </w:divBdr>
        </w:div>
        <w:div w:id="1536962813">
          <w:marLeft w:val="0"/>
          <w:marRight w:val="0"/>
          <w:marTop w:val="0"/>
          <w:marBottom w:val="0"/>
          <w:divBdr>
            <w:top w:val="none" w:sz="0" w:space="0" w:color="auto"/>
            <w:left w:val="none" w:sz="0" w:space="0" w:color="auto"/>
            <w:bottom w:val="none" w:sz="0" w:space="0" w:color="auto"/>
            <w:right w:val="none" w:sz="0" w:space="0" w:color="auto"/>
          </w:divBdr>
        </w:div>
        <w:div w:id="1730423702">
          <w:marLeft w:val="0"/>
          <w:marRight w:val="0"/>
          <w:marTop w:val="0"/>
          <w:marBottom w:val="0"/>
          <w:divBdr>
            <w:top w:val="none" w:sz="0" w:space="0" w:color="auto"/>
            <w:left w:val="none" w:sz="0" w:space="0" w:color="auto"/>
            <w:bottom w:val="none" w:sz="0" w:space="0" w:color="auto"/>
            <w:right w:val="none" w:sz="0" w:space="0" w:color="auto"/>
          </w:divBdr>
        </w:div>
        <w:div w:id="1753160385">
          <w:marLeft w:val="0"/>
          <w:marRight w:val="0"/>
          <w:marTop w:val="0"/>
          <w:marBottom w:val="0"/>
          <w:divBdr>
            <w:top w:val="none" w:sz="0" w:space="0" w:color="auto"/>
            <w:left w:val="none" w:sz="0" w:space="0" w:color="auto"/>
            <w:bottom w:val="none" w:sz="0" w:space="0" w:color="auto"/>
            <w:right w:val="none" w:sz="0" w:space="0" w:color="auto"/>
          </w:divBdr>
        </w:div>
        <w:div w:id="1762875110">
          <w:marLeft w:val="0"/>
          <w:marRight w:val="0"/>
          <w:marTop w:val="0"/>
          <w:marBottom w:val="0"/>
          <w:divBdr>
            <w:top w:val="none" w:sz="0" w:space="0" w:color="auto"/>
            <w:left w:val="none" w:sz="0" w:space="0" w:color="auto"/>
            <w:bottom w:val="none" w:sz="0" w:space="0" w:color="auto"/>
            <w:right w:val="none" w:sz="0" w:space="0" w:color="auto"/>
          </w:divBdr>
        </w:div>
        <w:div w:id="1895847355">
          <w:marLeft w:val="0"/>
          <w:marRight w:val="0"/>
          <w:marTop w:val="0"/>
          <w:marBottom w:val="0"/>
          <w:divBdr>
            <w:top w:val="none" w:sz="0" w:space="0" w:color="auto"/>
            <w:left w:val="none" w:sz="0" w:space="0" w:color="auto"/>
            <w:bottom w:val="none" w:sz="0" w:space="0" w:color="auto"/>
            <w:right w:val="none" w:sz="0" w:space="0" w:color="auto"/>
          </w:divBdr>
        </w:div>
      </w:divsChild>
    </w:div>
    <w:div w:id="1193569149">
      <w:bodyDiv w:val="1"/>
      <w:marLeft w:val="0"/>
      <w:marRight w:val="0"/>
      <w:marTop w:val="0"/>
      <w:marBottom w:val="0"/>
      <w:divBdr>
        <w:top w:val="none" w:sz="0" w:space="0" w:color="auto"/>
        <w:left w:val="none" w:sz="0" w:space="0" w:color="auto"/>
        <w:bottom w:val="none" w:sz="0" w:space="0" w:color="auto"/>
        <w:right w:val="none" w:sz="0" w:space="0" w:color="auto"/>
      </w:divBdr>
    </w:div>
    <w:div w:id="1196888647">
      <w:bodyDiv w:val="1"/>
      <w:marLeft w:val="0"/>
      <w:marRight w:val="0"/>
      <w:marTop w:val="0"/>
      <w:marBottom w:val="0"/>
      <w:divBdr>
        <w:top w:val="none" w:sz="0" w:space="0" w:color="auto"/>
        <w:left w:val="none" w:sz="0" w:space="0" w:color="auto"/>
        <w:bottom w:val="none" w:sz="0" w:space="0" w:color="auto"/>
        <w:right w:val="none" w:sz="0" w:space="0" w:color="auto"/>
      </w:divBdr>
    </w:div>
    <w:div w:id="1238637369">
      <w:bodyDiv w:val="1"/>
      <w:marLeft w:val="0"/>
      <w:marRight w:val="0"/>
      <w:marTop w:val="0"/>
      <w:marBottom w:val="0"/>
      <w:divBdr>
        <w:top w:val="none" w:sz="0" w:space="0" w:color="auto"/>
        <w:left w:val="none" w:sz="0" w:space="0" w:color="auto"/>
        <w:bottom w:val="none" w:sz="0" w:space="0" w:color="auto"/>
        <w:right w:val="none" w:sz="0" w:space="0" w:color="auto"/>
      </w:divBdr>
    </w:div>
    <w:div w:id="1239562027">
      <w:bodyDiv w:val="1"/>
      <w:marLeft w:val="0"/>
      <w:marRight w:val="0"/>
      <w:marTop w:val="0"/>
      <w:marBottom w:val="0"/>
      <w:divBdr>
        <w:top w:val="none" w:sz="0" w:space="0" w:color="auto"/>
        <w:left w:val="none" w:sz="0" w:space="0" w:color="auto"/>
        <w:bottom w:val="none" w:sz="0" w:space="0" w:color="auto"/>
        <w:right w:val="none" w:sz="0" w:space="0" w:color="auto"/>
      </w:divBdr>
    </w:div>
    <w:div w:id="1240482584">
      <w:bodyDiv w:val="1"/>
      <w:marLeft w:val="0"/>
      <w:marRight w:val="0"/>
      <w:marTop w:val="0"/>
      <w:marBottom w:val="0"/>
      <w:divBdr>
        <w:top w:val="none" w:sz="0" w:space="0" w:color="auto"/>
        <w:left w:val="none" w:sz="0" w:space="0" w:color="auto"/>
        <w:bottom w:val="none" w:sz="0" w:space="0" w:color="auto"/>
        <w:right w:val="none" w:sz="0" w:space="0" w:color="auto"/>
      </w:divBdr>
    </w:div>
    <w:div w:id="1242108508">
      <w:bodyDiv w:val="1"/>
      <w:marLeft w:val="0"/>
      <w:marRight w:val="0"/>
      <w:marTop w:val="0"/>
      <w:marBottom w:val="0"/>
      <w:divBdr>
        <w:top w:val="none" w:sz="0" w:space="0" w:color="auto"/>
        <w:left w:val="none" w:sz="0" w:space="0" w:color="auto"/>
        <w:bottom w:val="none" w:sz="0" w:space="0" w:color="auto"/>
        <w:right w:val="none" w:sz="0" w:space="0" w:color="auto"/>
      </w:divBdr>
    </w:div>
    <w:div w:id="1253658191">
      <w:bodyDiv w:val="1"/>
      <w:marLeft w:val="0"/>
      <w:marRight w:val="0"/>
      <w:marTop w:val="0"/>
      <w:marBottom w:val="0"/>
      <w:divBdr>
        <w:top w:val="none" w:sz="0" w:space="0" w:color="auto"/>
        <w:left w:val="none" w:sz="0" w:space="0" w:color="auto"/>
        <w:bottom w:val="none" w:sz="0" w:space="0" w:color="auto"/>
        <w:right w:val="none" w:sz="0" w:space="0" w:color="auto"/>
      </w:divBdr>
    </w:div>
    <w:div w:id="1256941966">
      <w:bodyDiv w:val="1"/>
      <w:marLeft w:val="0"/>
      <w:marRight w:val="0"/>
      <w:marTop w:val="0"/>
      <w:marBottom w:val="0"/>
      <w:divBdr>
        <w:top w:val="none" w:sz="0" w:space="0" w:color="auto"/>
        <w:left w:val="none" w:sz="0" w:space="0" w:color="auto"/>
        <w:bottom w:val="none" w:sz="0" w:space="0" w:color="auto"/>
        <w:right w:val="none" w:sz="0" w:space="0" w:color="auto"/>
      </w:divBdr>
    </w:div>
    <w:div w:id="1270159311">
      <w:bodyDiv w:val="1"/>
      <w:marLeft w:val="0"/>
      <w:marRight w:val="0"/>
      <w:marTop w:val="0"/>
      <w:marBottom w:val="0"/>
      <w:divBdr>
        <w:top w:val="none" w:sz="0" w:space="0" w:color="auto"/>
        <w:left w:val="none" w:sz="0" w:space="0" w:color="auto"/>
        <w:bottom w:val="none" w:sz="0" w:space="0" w:color="auto"/>
        <w:right w:val="none" w:sz="0" w:space="0" w:color="auto"/>
      </w:divBdr>
    </w:div>
    <w:div w:id="1275332977">
      <w:bodyDiv w:val="1"/>
      <w:marLeft w:val="0"/>
      <w:marRight w:val="0"/>
      <w:marTop w:val="0"/>
      <w:marBottom w:val="0"/>
      <w:divBdr>
        <w:top w:val="none" w:sz="0" w:space="0" w:color="auto"/>
        <w:left w:val="none" w:sz="0" w:space="0" w:color="auto"/>
        <w:bottom w:val="none" w:sz="0" w:space="0" w:color="auto"/>
        <w:right w:val="none" w:sz="0" w:space="0" w:color="auto"/>
      </w:divBdr>
      <w:divsChild>
        <w:div w:id="1904635203">
          <w:marLeft w:val="0"/>
          <w:marRight w:val="0"/>
          <w:marTop w:val="0"/>
          <w:marBottom w:val="0"/>
          <w:divBdr>
            <w:top w:val="none" w:sz="0" w:space="0" w:color="auto"/>
            <w:left w:val="none" w:sz="0" w:space="0" w:color="auto"/>
            <w:bottom w:val="none" w:sz="0" w:space="0" w:color="auto"/>
            <w:right w:val="none" w:sz="0" w:space="0" w:color="auto"/>
          </w:divBdr>
        </w:div>
      </w:divsChild>
    </w:div>
    <w:div w:id="1292903131">
      <w:bodyDiv w:val="1"/>
      <w:marLeft w:val="0"/>
      <w:marRight w:val="0"/>
      <w:marTop w:val="0"/>
      <w:marBottom w:val="0"/>
      <w:divBdr>
        <w:top w:val="none" w:sz="0" w:space="0" w:color="auto"/>
        <w:left w:val="none" w:sz="0" w:space="0" w:color="auto"/>
        <w:bottom w:val="none" w:sz="0" w:space="0" w:color="auto"/>
        <w:right w:val="none" w:sz="0" w:space="0" w:color="auto"/>
      </w:divBdr>
    </w:div>
    <w:div w:id="1294486167">
      <w:bodyDiv w:val="1"/>
      <w:marLeft w:val="0"/>
      <w:marRight w:val="0"/>
      <w:marTop w:val="0"/>
      <w:marBottom w:val="0"/>
      <w:divBdr>
        <w:top w:val="none" w:sz="0" w:space="0" w:color="auto"/>
        <w:left w:val="none" w:sz="0" w:space="0" w:color="auto"/>
        <w:bottom w:val="none" w:sz="0" w:space="0" w:color="auto"/>
        <w:right w:val="none" w:sz="0" w:space="0" w:color="auto"/>
      </w:divBdr>
    </w:div>
    <w:div w:id="1323389557">
      <w:bodyDiv w:val="1"/>
      <w:marLeft w:val="0"/>
      <w:marRight w:val="0"/>
      <w:marTop w:val="0"/>
      <w:marBottom w:val="0"/>
      <w:divBdr>
        <w:top w:val="none" w:sz="0" w:space="0" w:color="auto"/>
        <w:left w:val="none" w:sz="0" w:space="0" w:color="auto"/>
        <w:bottom w:val="none" w:sz="0" w:space="0" w:color="auto"/>
        <w:right w:val="none" w:sz="0" w:space="0" w:color="auto"/>
      </w:divBdr>
    </w:div>
    <w:div w:id="1329601832">
      <w:bodyDiv w:val="1"/>
      <w:marLeft w:val="0"/>
      <w:marRight w:val="0"/>
      <w:marTop w:val="0"/>
      <w:marBottom w:val="0"/>
      <w:divBdr>
        <w:top w:val="none" w:sz="0" w:space="0" w:color="auto"/>
        <w:left w:val="none" w:sz="0" w:space="0" w:color="auto"/>
        <w:bottom w:val="none" w:sz="0" w:space="0" w:color="auto"/>
        <w:right w:val="none" w:sz="0" w:space="0" w:color="auto"/>
      </w:divBdr>
    </w:div>
    <w:div w:id="1330988277">
      <w:bodyDiv w:val="1"/>
      <w:marLeft w:val="0"/>
      <w:marRight w:val="0"/>
      <w:marTop w:val="0"/>
      <w:marBottom w:val="0"/>
      <w:divBdr>
        <w:top w:val="none" w:sz="0" w:space="0" w:color="auto"/>
        <w:left w:val="none" w:sz="0" w:space="0" w:color="auto"/>
        <w:bottom w:val="none" w:sz="0" w:space="0" w:color="auto"/>
        <w:right w:val="none" w:sz="0" w:space="0" w:color="auto"/>
      </w:divBdr>
    </w:div>
    <w:div w:id="1351182583">
      <w:bodyDiv w:val="1"/>
      <w:marLeft w:val="0"/>
      <w:marRight w:val="0"/>
      <w:marTop w:val="0"/>
      <w:marBottom w:val="0"/>
      <w:divBdr>
        <w:top w:val="none" w:sz="0" w:space="0" w:color="auto"/>
        <w:left w:val="none" w:sz="0" w:space="0" w:color="auto"/>
        <w:bottom w:val="none" w:sz="0" w:space="0" w:color="auto"/>
        <w:right w:val="none" w:sz="0" w:space="0" w:color="auto"/>
      </w:divBdr>
    </w:div>
    <w:div w:id="1358197675">
      <w:bodyDiv w:val="1"/>
      <w:marLeft w:val="0"/>
      <w:marRight w:val="0"/>
      <w:marTop w:val="0"/>
      <w:marBottom w:val="0"/>
      <w:divBdr>
        <w:top w:val="none" w:sz="0" w:space="0" w:color="auto"/>
        <w:left w:val="none" w:sz="0" w:space="0" w:color="auto"/>
        <w:bottom w:val="none" w:sz="0" w:space="0" w:color="auto"/>
        <w:right w:val="none" w:sz="0" w:space="0" w:color="auto"/>
      </w:divBdr>
    </w:div>
    <w:div w:id="1359044560">
      <w:bodyDiv w:val="1"/>
      <w:marLeft w:val="0"/>
      <w:marRight w:val="0"/>
      <w:marTop w:val="0"/>
      <w:marBottom w:val="0"/>
      <w:divBdr>
        <w:top w:val="none" w:sz="0" w:space="0" w:color="auto"/>
        <w:left w:val="none" w:sz="0" w:space="0" w:color="auto"/>
        <w:bottom w:val="none" w:sz="0" w:space="0" w:color="auto"/>
        <w:right w:val="none" w:sz="0" w:space="0" w:color="auto"/>
      </w:divBdr>
    </w:div>
    <w:div w:id="1376852711">
      <w:bodyDiv w:val="1"/>
      <w:marLeft w:val="0"/>
      <w:marRight w:val="0"/>
      <w:marTop w:val="0"/>
      <w:marBottom w:val="0"/>
      <w:divBdr>
        <w:top w:val="none" w:sz="0" w:space="0" w:color="auto"/>
        <w:left w:val="none" w:sz="0" w:space="0" w:color="auto"/>
        <w:bottom w:val="none" w:sz="0" w:space="0" w:color="auto"/>
        <w:right w:val="none" w:sz="0" w:space="0" w:color="auto"/>
      </w:divBdr>
    </w:div>
    <w:div w:id="1377200655">
      <w:bodyDiv w:val="1"/>
      <w:marLeft w:val="0"/>
      <w:marRight w:val="0"/>
      <w:marTop w:val="0"/>
      <w:marBottom w:val="0"/>
      <w:divBdr>
        <w:top w:val="none" w:sz="0" w:space="0" w:color="auto"/>
        <w:left w:val="none" w:sz="0" w:space="0" w:color="auto"/>
        <w:bottom w:val="none" w:sz="0" w:space="0" w:color="auto"/>
        <w:right w:val="none" w:sz="0" w:space="0" w:color="auto"/>
      </w:divBdr>
    </w:div>
    <w:div w:id="1378697429">
      <w:bodyDiv w:val="1"/>
      <w:marLeft w:val="0"/>
      <w:marRight w:val="0"/>
      <w:marTop w:val="0"/>
      <w:marBottom w:val="0"/>
      <w:divBdr>
        <w:top w:val="none" w:sz="0" w:space="0" w:color="auto"/>
        <w:left w:val="none" w:sz="0" w:space="0" w:color="auto"/>
        <w:bottom w:val="none" w:sz="0" w:space="0" w:color="auto"/>
        <w:right w:val="none" w:sz="0" w:space="0" w:color="auto"/>
      </w:divBdr>
    </w:div>
    <w:div w:id="1387531343">
      <w:bodyDiv w:val="1"/>
      <w:marLeft w:val="0"/>
      <w:marRight w:val="0"/>
      <w:marTop w:val="0"/>
      <w:marBottom w:val="0"/>
      <w:divBdr>
        <w:top w:val="none" w:sz="0" w:space="0" w:color="auto"/>
        <w:left w:val="none" w:sz="0" w:space="0" w:color="auto"/>
        <w:bottom w:val="none" w:sz="0" w:space="0" w:color="auto"/>
        <w:right w:val="none" w:sz="0" w:space="0" w:color="auto"/>
      </w:divBdr>
    </w:div>
    <w:div w:id="1428187472">
      <w:bodyDiv w:val="1"/>
      <w:marLeft w:val="0"/>
      <w:marRight w:val="0"/>
      <w:marTop w:val="0"/>
      <w:marBottom w:val="0"/>
      <w:divBdr>
        <w:top w:val="none" w:sz="0" w:space="0" w:color="auto"/>
        <w:left w:val="none" w:sz="0" w:space="0" w:color="auto"/>
        <w:bottom w:val="none" w:sz="0" w:space="0" w:color="auto"/>
        <w:right w:val="none" w:sz="0" w:space="0" w:color="auto"/>
      </w:divBdr>
    </w:div>
    <w:div w:id="1449273329">
      <w:bodyDiv w:val="1"/>
      <w:marLeft w:val="0"/>
      <w:marRight w:val="0"/>
      <w:marTop w:val="0"/>
      <w:marBottom w:val="0"/>
      <w:divBdr>
        <w:top w:val="none" w:sz="0" w:space="0" w:color="auto"/>
        <w:left w:val="none" w:sz="0" w:space="0" w:color="auto"/>
        <w:bottom w:val="none" w:sz="0" w:space="0" w:color="auto"/>
        <w:right w:val="none" w:sz="0" w:space="0" w:color="auto"/>
      </w:divBdr>
    </w:div>
    <w:div w:id="1453862985">
      <w:bodyDiv w:val="1"/>
      <w:marLeft w:val="0"/>
      <w:marRight w:val="0"/>
      <w:marTop w:val="0"/>
      <w:marBottom w:val="0"/>
      <w:divBdr>
        <w:top w:val="none" w:sz="0" w:space="0" w:color="auto"/>
        <w:left w:val="none" w:sz="0" w:space="0" w:color="auto"/>
        <w:bottom w:val="none" w:sz="0" w:space="0" w:color="auto"/>
        <w:right w:val="none" w:sz="0" w:space="0" w:color="auto"/>
      </w:divBdr>
    </w:div>
    <w:div w:id="1457138342">
      <w:bodyDiv w:val="1"/>
      <w:marLeft w:val="0"/>
      <w:marRight w:val="0"/>
      <w:marTop w:val="0"/>
      <w:marBottom w:val="0"/>
      <w:divBdr>
        <w:top w:val="none" w:sz="0" w:space="0" w:color="auto"/>
        <w:left w:val="none" w:sz="0" w:space="0" w:color="auto"/>
        <w:bottom w:val="none" w:sz="0" w:space="0" w:color="auto"/>
        <w:right w:val="none" w:sz="0" w:space="0" w:color="auto"/>
      </w:divBdr>
    </w:div>
    <w:div w:id="1462069291">
      <w:bodyDiv w:val="1"/>
      <w:marLeft w:val="0"/>
      <w:marRight w:val="0"/>
      <w:marTop w:val="0"/>
      <w:marBottom w:val="0"/>
      <w:divBdr>
        <w:top w:val="none" w:sz="0" w:space="0" w:color="auto"/>
        <w:left w:val="none" w:sz="0" w:space="0" w:color="auto"/>
        <w:bottom w:val="none" w:sz="0" w:space="0" w:color="auto"/>
        <w:right w:val="none" w:sz="0" w:space="0" w:color="auto"/>
      </w:divBdr>
    </w:div>
    <w:div w:id="1473594087">
      <w:bodyDiv w:val="1"/>
      <w:marLeft w:val="0"/>
      <w:marRight w:val="0"/>
      <w:marTop w:val="0"/>
      <w:marBottom w:val="0"/>
      <w:divBdr>
        <w:top w:val="none" w:sz="0" w:space="0" w:color="auto"/>
        <w:left w:val="none" w:sz="0" w:space="0" w:color="auto"/>
        <w:bottom w:val="none" w:sz="0" w:space="0" w:color="auto"/>
        <w:right w:val="none" w:sz="0" w:space="0" w:color="auto"/>
      </w:divBdr>
    </w:div>
    <w:div w:id="1477062032">
      <w:bodyDiv w:val="1"/>
      <w:marLeft w:val="0"/>
      <w:marRight w:val="0"/>
      <w:marTop w:val="0"/>
      <w:marBottom w:val="0"/>
      <w:divBdr>
        <w:top w:val="none" w:sz="0" w:space="0" w:color="auto"/>
        <w:left w:val="none" w:sz="0" w:space="0" w:color="auto"/>
        <w:bottom w:val="none" w:sz="0" w:space="0" w:color="auto"/>
        <w:right w:val="none" w:sz="0" w:space="0" w:color="auto"/>
      </w:divBdr>
    </w:div>
    <w:div w:id="1485008420">
      <w:bodyDiv w:val="1"/>
      <w:marLeft w:val="0"/>
      <w:marRight w:val="0"/>
      <w:marTop w:val="0"/>
      <w:marBottom w:val="0"/>
      <w:divBdr>
        <w:top w:val="none" w:sz="0" w:space="0" w:color="auto"/>
        <w:left w:val="none" w:sz="0" w:space="0" w:color="auto"/>
        <w:bottom w:val="none" w:sz="0" w:space="0" w:color="auto"/>
        <w:right w:val="none" w:sz="0" w:space="0" w:color="auto"/>
      </w:divBdr>
    </w:div>
    <w:div w:id="1492256835">
      <w:bodyDiv w:val="1"/>
      <w:marLeft w:val="0"/>
      <w:marRight w:val="0"/>
      <w:marTop w:val="0"/>
      <w:marBottom w:val="0"/>
      <w:divBdr>
        <w:top w:val="none" w:sz="0" w:space="0" w:color="auto"/>
        <w:left w:val="none" w:sz="0" w:space="0" w:color="auto"/>
        <w:bottom w:val="none" w:sz="0" w:space="0" w:color="auto"/>
        <w:right w:val="none" w:sz="0" w:space="0" w:color="auto"/>
      </w:divBdr>
    </w:div>
    <w:div w:id="1507357448">
      <w:bodyDiv w:val="1"/>
      <w:marLeft w:val="0"/>
      <w:marRight w:val="0"/>
      <w:marTop w:val="0"/>
      <w:marBottom w:val="0"/>
      <w:divBdr>
        <w:top w:val="none" w:sz="0" w:space="0" w:color="auto"/>
        <w:left w:val="none" w:sz="0" w:space="0" w:color="auto"/>
        <w:bottom w:val="none" w:sz="0" w:space="0" w:color="auto"/>
        <w:right w:val="none" w:sz="0" w:space="0" w:color="auto"/>
      </w:divBdr>
    </w:div>
    <w:div w:id="1531991415">
      <w:bodyDiv w:val="1"/>
      <w:marLeft w:val="0"/>
      <w:marRight w:val="0"/>
      <w:marTop w:val="0"/>
      <w:marBottom w:val="0"/>
      <w:divBdr>
        <w:top w:val="none" w:sz="0" w:space="0" w:color="auto"/>
        <w:left w:val="none" w:sz="0" w:space="0" w:color="auto"/>
        <w:bottom w:val="none" w:sz="0" w:space="0" w:color="auto"/>
        <w:right w:val="none" w:sz="0" w:space="0" w:color="auto"/>
      </w:divBdr>
      <w:divsChild>
        <w:div w:id="61147811">
          <w:marLeft w:val="0"/>
          <w:marRight w:val="0"/>
          <w:marTop w:val="0"/>
          <w:marBottom w:val="0"/>
          <w:divBdr>
            <w:top w:val="none" w:sz="0" w:space="0" w:color="auto"/>
            <w:left w:val="none" w:sz="0" w:space="0" w:color="auto"/>
            <w:bottom w:val="none" w:sz="0" w:space="0" w:color="auto"/>
            <w:right w:val="none" w:sz="0" w:space="0" w:color="auto"/>
          </w:divBdr>
        </w:div>
        <w:div w:id="245922818">
          <w:marLeft w:val="0"/>
          <w:marRight w:val="0"/>
          <w:marTop w:val="0"/>
          <w:marBottom w:val="0"/>
          <w:divBdr>
            <w:top w:val="none" w:sz="0" w:space="0" w:color="auto"/>
            <w:left w:val="none" w:sz="0" w:space="0" w:color="auto"/>
            <w:bottom w:val="none" w:sz="0" w:space="0" w:color="auto"/>
            <w:right w:val="none" w:sz="0" w:space="0" w:color="auto"/>
          </w:divBdr>
        </w:div>
        <w:div w:id="302974161">
          <w:marLeft w:val="0"/>
          <w:marRight w:val="0"/>
          <w:marTop w:val="0"/>
          <w:marBottom w:val="0"/>
          <w:divBdr>
            <w:top w:val="none" w:sz="0" w:space="0" w:color="auto"/>
            <w:left w:val="none" w:sz="0" w:space="0" w:color="auto"/>
            <w:bottom w:val="none" w:sz="0" w:space="0" w:color="auto"/>
            <w:right w:val="none" w:sz="0" w:space="0" w:color="auto"/>
          </w:divBdr>
        </w:div>
        <w:div w:id="462113706">
          <w:marLeft w:val="0"/>
          <w:marRight w:val="0"/>
          <w:marTop w:val="0"/>
          <w:marBottom w:val="0"/>
          <w:divBdr>
            <w:top w:val="none" w:sz="0" w:space="0" w:color="auto"/>
            <w:left w:val="none" w:sz="0" w:space="0" w:color="auto"/>
            <w:bottom w:val="none" w:sz="0" w:space="0" w:color="auto"/>
            <w:right w:val="none" w:sz="0" w:space="0" w:color="auto"/>
          </w:divBdr>
        </w:div>
        <w:div w:id="1079250219">
          <w:marLeft w:val="0"/>
          <w:marRight w:val="0"/>
          <w:marTop w:val="0"/>
          <w:marBottom w:val="0"/>
          <w:divBdr>
            <w:top w:val="none" w:sz="0" w:space="0" w:color="auto"/>
            <w:left w:val="none" w:sz="0" w:space="0" w:color="auto"/>
            <w:bottom w:val="none" w:sz="0" w:space="0" w:color="auto"/>
            <w:right w:val="none" w:sz="0" w:space="0" w:color="auto"/>
          </w:divBdr>
        </w:div>
        <w:div w:id="1159539492">
          <w:marLeft w:val="0"/>
          <w:marRight w:val="0"/>
          <w:marTop w:val="0"/>
          <w:marBottom w:val="0"/>
          <w:divBdr>
            <w:top w:val="none" w:sz="0" w:space="0" w:color="auto"/>
            <w:left w:val="none" w:sz="0" w:space="0" w:color="auto"/>
            <w:bottom w:val="none" w:sz="0" w:space="0" w:color="auto"/>
            <w:right w:val="none" w:sz="0" w:space="0" w:color="auto"/>
          </w:divBdr>
        </w:div>
        <w:div w:id="1640528615">
          <w:marLeft w:val="0"/>
          <w:marRight w:val="0"/>
          <w:marTop w:val="0"/>
          <w:marBottom w:val="0"/>
          <w:divBdr>
            <w:top w:val="none" w:sz="0" w:space="0" w:color="auto"/>
            <w:left w:val="none" w:sz="0" w:space="0" w:color="auto"/>
            <w:bottom w:val="none" w:sz="0" w:space="0" w:color="auto"/>
            <w:right w:val="none" w:sz="0" w:space="0" w:color="auto"/>
          </w:divBdr>
        </w:div>
        <w:div w:id="1678922013">
          <w:marLeft w:val="0"/>
          <w:marRight w:val="0"/>
          <w:marTop w:val="0"/>
          <w:marBottom w:val="0"/>
          <w:divBdr>
            <w:top w:val="none" w:sz="0" w:space="0" w:color="auto"/>
            <w:left w:val="none" w:sz="0" w:space="0" w:color="auto"/>
            <w:bottom w:val="none" w:sz="0" w:space="0" w:color="auto"/>
            <w:right w:val="none" w:sz="0" w:space="0" w:color="auto"/>
          </w:divBdr>
        </w:div>
      </w:divsChild>
    </w:div>
    <w:div w:id="1559896404">
      <w:bodyDiv w:val="1"/>
      <w:marLeft w:val="0"/>
      <w:marRight w:val="0"/>
      <w:marTop w:val="0"/>
      <w:marBottom w:val="0"/>
      <w:divBdr>
        <w:top w:val="none" w:sz="0" w:space="0" w:color="auto"/>
        <w:left w:val="none" w:sz="0" w:space="0" w:color="auto"/>
        <w:bottom w:val="none" w:sz="0" w:space="0" w:color="auto"/>
        <w:right w:val="none" w:sz="0" w:space="0" w:color="auto"/>
      </w:divBdr>
    </w:div>
    <w:div w:id="1560752609">
      <w:bodyDiv w:val="1"/>
      <w:marLeft w:val="0"/>
      <w:marRight w:val="0"/>
      <w:marTop w:val="0"/>
      <w:marBottom w:val="0"/>
      <w:divBdr>
        <w:top w:val="none" w:sz="0" w:space="0" w:color="auto"/>
        <w:left w:val="none" w:sz="0" w:space="0" w:color="auto"/>
        <w:bottom w:val="none" w:sz="0" w:space="0" w:color="auto"/>
        <w:right w:val="none" w:sz="0" w:space="0" w:color="auto"/>
      </w:divBdr>
    </w:div>
    <w:div w:id="1577937994">
      <w:bodyDiv w:val="1"/>
      <w:marLeft w:val="0"/>
      <w:marRight w:val="0"/>
      <w:marTop w:val="0"/>
      <w:marBottom w:val="0"/>
      <w:divBdr>
        <w:top w:val="none" w:sz="0" w:space="0" w:color="auto"/>
        <w:left w:val="none" w:sz="0" w:space="0" w:color="auto"/>
        <w:bottom w:val="none" w:sz="0" w:space="0" w:color="auto"/>
        <w:right w:val="none" w:sz="0" w:space="0" w:color="auto"/>
      </w:divBdr>
    </w:div>
    <w:div w:id="1586957701">
      <w:bodyDiv w:val="1"/>
      <w:marLeft w:val="0"/>
      <w:marRight w:val="0"/>
      <w:marTop w:val="0"/>
      <w:marBottom w:val="0"/>
      <w:divBdr>
        <w:top w:val="none" w:sz="0" w:space="0" w:color="auto"/>
        <w:left w:val="none" w:sz="0" w:space="0" w:color="auto"/>
        <w:bottom w:val="none" w:sz="0" w:space="0" w:color="auto"/>
        <w:right w:val="none" w:sz="0" w:space="0" w:color="auto"/>
      </w:divBdr>
    </w:div>
    <w:div w:id="1591701000">
      <w:bodyDiv w:val="1"/>
      <w:marLeft w:val="0"/>
      <w:marRight w:val="0"/>
      <w:marTop w:val="0"/>
      <w:marBottom w:val="0"/>
      <w:divBdr>
        <w:top w:val="none" w:sz="0" w:space="0" w:color="auto"/>
        <w:left w:val="none" w:sz="0" w:space="0" w:color="auto"/>
        <w:bottom w:val="none" w:sz="0" w:space="0" w:color="auto"/>
        <w:right w:val="none" w:sz="0" w:space="0" w:color="auto"/>
      </w:divBdr>
    </w:div>
    <w:div w:id="1598444826">
      <w:bodyDiv w:val="1"/>
      <w:marLeft w:val="0"/>
      <w:marRight w:val="0"/>
      <w:marTop w:val="0"/>
      <w:marBottom w:val="0"/>
      <w:divBdr>
        <w:top w:val="none" w:sz="0" w:space="0" w:color="auto"/>
        <w:left w:val="none" w:sz="0" w:space="0" w:color="auto"/>
        <w:bottom w:val="none" w:sz="0" w:space="0" w:color="auto"/>
        <w:right w:val="none" w:sz="0" w:space="0" w:color="auto"/>
      </w:divBdr>
    </w:div>
    <w:div w:id="1633486382">
      <w:bodyDiv w:val="1"/>
      <w:marLeft w:val="0"/>
      <w:marRight w:val="0"/>
      <w:marTop w:val="0"/>
      <w:marBottom w:val="0"/>
      <w:divBdr>
        <w:top w:val="none" w:sz="0" w:space="0" w:color="auto"/>
        <w:left w:val="none" w:sz="0" w:space="0" w:color="auto"/>
        <w:bottom w:val="none" w:sz="0" w:space="0" w:color="auto"/>
        <w:right w:val="none" w:sz="0" w:space="0" w:color="auto"/>
      </w:divBdr>
    </w:div>
    <w:div w:id="1641421362">
      <w:bodyDiv w:val="1"/>
      <w:marLeft w:val="0"/>
      <w:marRight w:val="0"/>
      <w:marTop w:val="0"/>
      <w:marBottom w:val="0"/>
      <w:divBdr>
        <w:top w:val="none" w:sz="0" w:space="0" w:color="auto"/>
        <w:left w:val="none" w:sz="0" w:space="0" w:color="auto"/>
        <w:bottom w:val="none" w:sz="0" w:space="0" w:color="auto"/>
        <w:right w:val="none" w:sz="0" w:space="0" w:color="auto"/>
      </w:divBdr>
    </w:div>
    <w:div w:id="1674255952">
      <w:bodyDiv w:val="1"/>
      <w:marLeft w:val="0"/>
      <w:marRight w:val="0"/>
      <w:marTop w:val="0"/>
      <w:marBottom w:val="0"/>
      <w:divBdr>
        <w:top w:val="none" w:sz="0" w:space="0" w:color="auto"/>
        <w:left w:val="none" w:sz="0" w:space="0" w:color="auto"/>
        <w:bottom w:val="none" w:sz="0" w:space="0" w:color="auto"/>
        <w:right w:val="none" w:sz="0" w:space="0" w:color="auto"/>
      </w:divBdr>
      <w:divsChild>
        <w:div w:id="1320033271">
          <w:marLeft w:val="0"/>
          <w:marRight w:val="0"/>
          <w:marTop w:val="0"/>
          <w:marBottom w:val="0"/>
          <w:divBdr>
            <w:top w:val="none" w:sz="0" w:space="0" w:color="auto"/>
            <w:left w:val="none" w:sz="0" w:space="0" w:color="auto"/>
            <w:bottom w:val="none" w:sz="0" w:space="0" w:color="auto"/>
            <w:right w:val="none" w:sz="0" w:space="0" w:color="auto"/>
          </w:divBdr>
        </w:div>
      </w:divsChild>
    </w:div>
    <w:div w:id="1684429085">
      <w:bodyDiv w:val="1"/>
      <w:marLeft w:val="0"/>
      <w:marRight w:val="0"/>
      <w:marTop w:val="0"/>
      <w:marBottom w:val="0"/>
      <w:divBdr>
        <w:top w:val="none" w:sz="0" w:space="0" w:color="auto"/>
        <w:left w:val="none" w:sz="0" w:space="0" w:color="auto"/>
        <w:bottom w:val="none" w:sz="0" w:space="0" w:color="auto"/>
        <w:right w:val="none" w:sz="0" w:space="0" w:color="auto"/>
      </w:divBdr>
    </w:div>
    <w:div w:id="1709799017">
      <w:bodyDiv w:val="1"/>
      <w:marLeft w:val="0"/>
      <w:marRight w:val="0"/>
      <w:marTop w:val="0"/>
      <w:marBottom w:val="0"/>
      <w:divBdr>
        <w:top w:val="none" w:sz="0" w:space="0" w:color="auto"/>
        <w:left w:val="none" w:sz="0" w:space="0" w:color="auto"/>
        <w:bottom w:val="none" w:sz="0" w:space="0" w:color="auto"/>
        <w:right w:val="none" w:sz="0" w:space="0" w:color="auto"/>
      </w:divBdr>
    </w:div>
    <w:div w:id="1748385234">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5587874">
      <w:bodyDiv w:val="1"/>
      <w:marLeft w:val="0"/>
      <w:marRight w:val="0"/>
      <w:marTop w:val="0"/>
      <w:marBottom w:val="0"/>
      <w:divBdr>
        <w:top w:val="none" w:sz="0" w:space="0" w:color="auto"/>
        <w:left w:val="none" w:sz="0" w:space="0" w:color="auto"/>
        <w:bottom w:val="none" w:sz="0" w:space="0" w:color="auto"/>
        <w:right w:val="none" w:sz="0" w:space="0" w:color="auto"/>
      </w:divBdr>
    </w:div>
    <w:div w:id="1756055428">
      <w:bodyDiv w:val="1"/>
      <w:marLeft w:val="0"/>
      <w:marRight w:val="0"/>
      <w:marTop w:val="0"/>
      <w:marBottom w:val="0"/>
      <w:divBdr>
        <w:top w:val="none" w:sz="0" w:space="0" w:color="auto"/>
        <w:left w:val="none" w:sz="0" w:space="0" w:color="auto"/>
        <w:bottom w:val="none" w:sz="0" w:space="0" w:color="auto"/>
        <w:right w:val="none" w:sz="0" w:space="0" w:color="auto"/>
      </w:divBdr>
    </w:div>
    <w:div w:id="1766681755">
      <w:bodyDiv w:val="1"/>
      <w:marLeft w:val="0"/>
      <w:marRight w:val="0"/>
      <w:marTop w:val="0"/>
      <w:marBottom w:val="0"/>
      <w:divBdr>
        <w:top w:val="none" w:sz="0" w:space="0" w:color="auto"/>
        <w:left w:val="none" w:sz="0" w:space="0" w:color="auto"/>
        <w:bottom w:val="none" w:sz="0" w:space="0" w:color="auto"/>
        <w:right w:val="none" w:sz="0" w:space="0" w:color="auto"/>
      </w:divBdr>
    </w:div>
    <w:div w:id="1770269882">
      <w:bodyDiv w:val="1"/>
      <w:marLeft w:val="0"/>
      <w:marRight w:val="0"/>
      <w:marTop w:val="0"/>
      <w:marBottom w:val="0"/>
      <w:divBdr>
        <w:top w:val="none" w:sz="0" w:space="0" w:color="auto"/>
        <w:left w:val="none" w:sz="0" w:space="0" w:color="auto"/>
        <w:bottom w:val="none" w:sz="0" w:space="0" w:color="auto"/>
        <w:right w:val="none" w:sz="0" w:space="0" w:color="auto"/>
      </w:divBdr>
    </w:div>
    <w:div w:id="1778133496">
      <w:bodyDiv w:val="1"/>
      <w:marLeft w:val="0"/>
      <w:marRight w:val="0"/>
      <w:marTop w:val="0"/>
      <w:marBottom w:val="0"/>
      <w:divBdr>
        <w:top w:val="none" w:sz="0" w:space="0" w:color="auto"/>
        <w:left w:val="none" w:sz="0" w:space="0" w:color="auto"/>
        <w:bottom w:val="none" w:sz="0" w:space="0" w:color="auto"/>
        <w:right w:val="none" w:sz="0" w:space="0" w:color="auto"/>
      </w:divBdr>
    </w:div>
    <w:div w:id="1786384123">
      <w:bodyDiv w:val="1"/>
      <w:marLeft w:val="0"/>
      <w:marRight w:val="0"/>
      <w:marTop w:val="0"/>
      <w:marBottom w:val="0"/>
      <w:divBdr>
        <w:top w:val="none" w:sz="0" w:space="0" w:color="auto"/>
        <w:left w:val="none" w:sz="0" w:space="0" w:color="auto"/>
        <w:bottom w:val="none" w:sz="0" w:space="0" w:color="auto"/>
        <w:right w:val="none" w:sz="0" w:space="0" w:color="auto"/>
      </w:divBdr>
    </w:div>
    <w:div w:id="1831091310">
      <w:bodyDiv w:val="1"/>
      <w:marLeft w:val="0"/>
      <w:marRight w:val="0"/>
      <w:marTop w:val="0"/>
      <w:marBottom w:val="0"/>
      <w:divBdr>
        <w:top w:val="none" w:sz="0" w:space="0" w:color="auto"/>
        <w:left w:val="none" w:sz="0" w:space="0" w:color="auto"/>
        <w:bottom w:val="none" w:sz="0" w:space="0" w:color="auto"/>
        <w:right w:val="none" w:sz="0" w:space="0" w:color="auto"/>
      </w:divBdr>
    </w:div>
    <w:div w:id="1842818725">
      <w:bodyDiv w:val="1"/>
      <w:marLeft w:val="0"/>
      <w:marRight w:val="0"/>
      <w:marTop w:val="0"/>
      <w:marBottom w:val="0"/>
      <w:divBdr>
        <w:top w:val="none" w:sz="0" w:space="0" w:color="auto"/>
        <w:left w:val="none" w:sz="0" w:space="0" w:color="auto"/>
        <w:bottom w:val="none" w:sz="0" w:space="0" w:color="auto"/>
        <w:right w:val="none" w:sz="0" w:space="0" w:color="auto"/>
      </w:divBdr>
    </w:div>
    <w:div w:id="1857040798">
      <w:bodyDiv w:val="1"/>
      <w:marLeft w:val="0"/>
      <w:marRight w:val="0"/>
      <w:marTop w:val="0"/>
      <w:marBottom w:val="0"/>
      <w:divBdr>
        <w:top w:val="none" w:sz="0" w:space="0" w:color="auto"/>
        <w:left w:val="none" w:sz="0" w:space="0" w:color="auto"/>
        <w:bottom w:val="none" w:sz="0" w:space="0" w:color="auto"/>
        <w:right w:val="none" w:sz="0" w:space="0" w:color="auto"/>
      </w:divBdr>
    </w:div>
    <w:div w:id="1859542607">
      <w:bodyDiv w:val="1"/>
      <w:marLeft w:val="0"/>
      <w:marRight w:val="0"/>
      <w:marTop w:val="0"/>
      <w:marBottom w:val="0"/>
      <w:divBdr>
        <w:top w:val="none" w:sz="0" w:space="0" w:color="auto"/>
        <w:left w:val="none" w:sz="0" w:space="0" w:color="auto"/>
        <w:bottom w:val="none" w:sz="0" w:space="0" w:color="auto"/>
        <w:right w:val="none" w:sz="0" w:space="0" w:color="auto"/>
      </w:divBdr>
      <w:divsChild>
        <w:div w:id="424766017">
          <w:marLeft w:val="0"/>
          <w:marRight w:val="0"/>
          <w:marTop w:val="0"/>
          <w:marBottom w:val="0"/>
          <w:divBdr>
            <w:top w:val="none" w:sz="0" w:space="0" w:color="auto"/>
            <w:left w:val="none" w:sz="0" w:space="0" w:color="auto"/>
            <w:bottom w:val="none" w:sz="0" w:space="0" w:color="auto"/>
            <w:right w:val="none" w:sz="0" w:space="0" w:color="auto"/>
          </w:divBdr>
        </w:div>
        <w:div w:id="430316487">
          <w:marLeft w:val="0"/>
          <w:marRight w:val="0"/>
          <w:marTop w:val="0"/>
          <w:marBottom w:val="0"/>
          <w:divBdr>
            <w:top w:val="none" w:sz="0" w:space="0" w:color="auto"/>
            <w:left w:val="none" w:sz="0" w:space="0" w:color="auto"/>
            <w:bottom w:val="none" w:sz="0" w:space="0" w:color="auto"/>
            <w:right w:val="none" w:sz="0" w:space="0" w:color="auto"/>
          </w:divBdr>
        </w:div>
        <w:div w:id="545339074">
          <w:marLeft w:val="0"/>
          <w:marRight w:val="0"/>
          <w:marTop w:val="0"/>
          <w:marBottom w:val="0"/>
          <w:divBdr>
            <w:top w:val="none" w:sz="0" w:space="0" w:color="auto"/>
            <w:left w:val="none" w:sz="0" w:space="0" w:color="auto"/>
            <w:bottom w:val="none" w:sz="0" w:space="0" w:color="auto"/>
            <w:right w:val="none" w:sz="0" w:space="0" w:color="auto"/>
          </w:divBdr>
        </w:div>
        <w:div w:id="1015612336">
          <w:marLeft w:val="0"/>
          <w:marRight w:val="0"/>
          <w:marTop w:val="0"/>
          <w:marBottom w:val="0"/>
          <w:divBdr>
            <w:top w:val="none" w:sz="0" w:space="0" w:color="auto"/>
            <w:left w:val="none" w:sz="0" w:space="0" w:color="auto"/>
            <w:bottom w:val="none" w:sz="0" w:space="0" w:color="auto"/>
            <w:right w:val="none" w:sz="0" w:space="0" w:color="auto"/>
          </w:divBdr>
        </w:div>
        <w:div w:id="1086146362">
          <w:marLeft w:val="0"/>
          <w:marRight w:val="0"/>
          <w:marTop w:val="0"/>
          <w:marBottom w:val="0"/>
          <w:divBdr>
            <w:top w:val="none" w:sz="0" w:space="0" w:color="auto"/>
            <w:left w:val="none" w:sz="0" w:space="0" w:color="auto"/>
            <w:bottom w:val="none" w:sz="0" w:space="0" w:color="auto"/>
            <w:right w:val="none" w:sz="0" w:space="0" w:color="auto"/>
          </w:divBdr>
        </w:div>
        <w:div w:id="1314749240">
          <w:marLeft w:val="0"/>
          <w:marRight w:val="0"/>
          <w:marTop w:val="0"/>
          <w:marBottom w:val="0"/>
          <w:divBdr>
            <w:top w:val="none" w:sz="0" w:space="0" w:color="auto"/>
            <w:left w:val="none" w:sz="0" w:space="0" w:color="auto"/>
            <w:bottom w:val="none" w:sz="0" w:space="0" w:color="auto"/>
            <w:right w:val="none" w:sz="0" w:space="0" w:color="auto"/>
          </w:divBdr>
        </w:div>
        <w:div w:id="2015574594">
          <w:marLeft w:val="0"/>
          <w:marRight w:val="0"/>
          <w:marTop w:val="0"/>
          <w:marBottom w:val="0"/>
          <w:divBdr>
            <w:top w:val="none" w:sz="0" w:space="0" w:color="auto"/>
            <w:left w:val="none" w:sz="0" w:space="0" w:color="auto"/>
            <w:bottom w:val="none" w:sz="0" w:space="0" w:color="auto"/>
            <w:right w:val="none" w:sz="0" w:space="0" w:color="auto"/>
          </w:divBdr>
        </w:div>
        <w:div w:id="2111510733">
          <w:marLeft w:val="0"/>
          <w:marRight w:val="0"/>
          <w:marTop w:val="0"/>
          <w:marBottom w:val="0"/>
          <w:divBdr>
            <w:top w:val="none" w:sz="0" w:space="0" w:color="auto"/>
            <w:left w:val="none" w:sz="0" w:space="0" w:color="auto"/>
            <w:bottom w:val="none" w:sz="0" w:space="0" w:color="auto"/>
            <w:right w:val="none" w:sz="0" w:space="0" w:color="auto"/>
          </w:divBdr>
        </w:div>
      </w:divsChild>
    </w:div>
    <w:div w:id="1860971245">
      <w:bodyDiv w:val="1"/>
      <w:marLeft w:val="0"/>
      <w:marRight w:val="0"/>
      <w:marTop w:val="0"/>
      <w:marBottom w:val="0"/>
      <w:divBdr>
        <w:top w:val="none" w:sz="0" w:space="0" w:color="auto"/>
        <w:left w:val="none" w:sz="0" w:space="0" w:color="auto"/>
        <w:bottom w:val="none" w:sz="0" w:space="0" w:color="auto"/>
        <w:right w:val="none" w:sz="0" w:space="0" w:color="auto"/>
      </w:divBdr>
    </w:div>
    <w:div w:id="1870412557">
      <w:bodyDiv w:val="1"/>
      <w:marLeft w:val="0"/>
      <w:marRight w:val="0"/>
      <w:marTop w:val="0"/>
      <w:marBottom w:val="0"/>
      <w:divBdr>
        <w:top w:val="none" w:sz="0" w:space="0" w:color="auto"/>
        <w:left w:val="none" w:sz="0" w:space="0" w:color="auto"/>
        <w:bottom w:val="none" w:sz="0" w:space="0" w:color="auto"/>
        <w:right w:val="none" w:sz="0" w:space="0" w:color="auto"/>
      </w:divBdr>
    </w:div>
    <w:div w:id="1901015169">
      <w:bodyDiv w:val="1"/>
      <w:marLeft w:val="0"/>
      <w:marRight w:val="0"/>
      <w:marTop w:val="0"/>
      <w:marBottom w:val="0"/>
      <w:divBdr>
        <w:top w:val="none" w:sz="0" w:space="0" w:color="auto"/>
        <w:left w:val="none" w:sz="0" w:space="0" w:color="auto"/>
        <w:bottom w:val="none" w:sz="0" w:space="0" w:color="auto"/>
        <w:right w:val="none" w:sz="0" w:space="0" w:color="auto"/>
      </w:divBdr>
    </w:div>
    <w:div w:id="1907110038">
      <w:bodyDiv w:val="1"/>
      <w:marLeft w:val="0"/>
      <w:marRight w:val="0"/>
      <w:marTop w:val="0"/>
      <w:marBottom w:val="0"/>
      <w:divBdr>
        <w:top w:val="none" w:sz="0" w:space="0" w:color="auto"/>
        <w:left w:val="none" w:sz="0" w:space="0" w:color="auto"/>
        <w:bottom w:val="none" w:sz="0" w:space="0" w:color="auto"/>
        <w:right w:val="none" w:sz="0" w:space="0" w:color="auto"/>
      </w:divBdr>
    </w:div>
    <w:div w:id="1909923371">
      <w:bodyDiv w:val="1"/>
      <w:marLeft w:val="0"/>
      <w:marRight w:val="0"/>
      <w:marTop w:val="0"/>
      <w:marBottom w:val="0"/>
      <w:divBdr>
        <w:top w:val="none" w:sz="0" w:space="0" w:color="auto"/>
        <w:left w:val="none" w:sz="0" w:space="0" w:color="auto"/>
        <w:bottom w:val="none" w:sz="0" w:space="0" w:color="auto"/>
        <w:right w:val="none" w:sz="0" w:space="0" w:color="auto"/>
      </w:divBdr>
    </w:div>
    <w:div w:id="1938752672">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96489431">
      <w:bodyDiv w:val="1"/>
      <w:marLeft w:val="0"/>
      <w:marRight w:val="0"/>
      <w:marTop w:val="0"/>
      <w:marBottom w:val="0"/>
      <w:divBdr>
        <w:top w:val="none" w:sz="0" w:space="0" w:color="auto"/>
        <w:left w:val="none" w:sz="0" w:space="0" w:color="auto"/>
        <w:bottom w:val="none" w:sz="0" w:space="0" w:color="auto"/>
        <w:right w:val="none" w:sz="0" w:space="0" w:color="auto"/>
      </w:divBdr>
    </w:div>
    <w:div w:id="2004772507">
      <w:bodyDiv w:val="1"/>
      <w:marLeft w:val="0"/>
      <w:marRight w:val="0"/>
      <w:marTop w:val="0"/>
      <w:marBottom w:val="0"/>
      <w:divBdr>
        <w:top w:val="none" w:sz="0" w:space="0" w:color="auto"/>
        <w:left w:val="none" w:sz="0" w:space="0" w:color="auto"/>
        <w:bottom w:val="none" w:sz="0" w:space="0" w:color="auto"/>
        <w:right w:val="none" w:sz="0" w:space="0" w:color="auto"/>
      </w:divBdr>
    </w:div>
    <w:div w:id="2048600026">
      <w:bodyDiv w:val="1"/>
      <w:marLeft w:val="0"/>
      <w:marRight w:val="0"/>
      <w:marTop w:val="0"/>
      <w:marBottom w:val="0"/>
      <w:divBdr>
        <w:top w:val="none" w:sz="0" w:space="0" w:color="auto"/>
        <w:left w:val="none" w:sz="0" w:space="0" w:color="auto"/>
        <w:bottom w:val="none" w:sz="0" w:space="0" w:color="auto"/>
        <w:right w:val="none" w:sz="0" w:space="0" w:color="auto"/>
      </w:divBdr>
    </w:div>
    <w:div w:id="2052226067">
      <w:bodyDiv w:val="1"/>
      <w:marLeft w:val="0"/>
      <w:marRight w:val="0"/>
      <w:marTop w:val="0"/>
      <w:marBottom w:val="0"/>
      <w:divBdr>
        <w:top w:val="none" w:sz="0" w:space="0" w:color="auto"/>
        <w:left w:val="none" w:sz="0" w:space="0" w:color="auto"/>
        <w:bottom w:val="none" w:sz="0" w:space="0" w:color="auto"/>
        <w:right w:val="none" w:sz="0" w:space="0" w:color="auto"/>
      </w:divBdr>
      <w:divsChild>
        <w:div w:id="683282796">
          <w:marLeft w:val="0"/>
          <w:marRight w:val="0"/>
          <w:marTop w:val="0"/>
          <w:marBottom w:val="0"/>
          <w:divBdr>
            <w:top w:val="none" w:sz="0" w:space="0" w:color="auto"/>
            <w:left w:val="none" w:sz="0" w:space="0" w:color="auto"/>
            <w:bottom w:val="none" w:sz="0" w:space="0" w:color="auto"/>
            <w:right w:val="none" w:sz="0" w:space="0" w:color="auto"/>
          </w:divBdr>
        </w:div>
      </w:divsChild>
    </w:div>
    <w:div w:id="2055811143">
      <w:bodyDiv w:val="1"/>
      <w:marLeft w:val="0"/>
      <w:marRight w:val="0"/>
      <w:marTop w:val="0"/>
      <w:marBottom w:val="0"/>
      <w:divBdr>
        <w:top w:val="none" w:sz="0" w:space="0" w:color="auto"/>
        <w:left w:val="none" w:sz="0" w:space="0" w:color="auto"/>
        <w:bottom w:val="none" w:sz="0" w:space="0" w:color="auto"/>
        <w:right w:val="none" w:sz="0" w:space="0" w:color="auto"/>
      </w:divBdr>
    </w:div>
    <w:div w:id="2062442635">
      <w:bodyDiv w:val="1"/>
      <w:marLeft w:val="0"/>
      <w:marRight w:val="0"/>
      <w:marTop w:val="0"/>
      <w:marBottom w:val="0"/>
      <w:divBdr>
        <w:top w:val="none" w:sz="0" w:space="0" w:color="auto"/>
        <w:left w:val="none" w:sz="0" w:space="0" w:color="auto"/>
        <w:bottom w:val="none" w:sz="0" w:space="0" w:color="auto"/>
        <w:right w:val="none" w:sz="0" w:space="0" w:color="auto"/>
      </w:divBdr>
    </w:div>
    <w:div w:id="2090424865">
      <w:bodyDiv w:val="1"/>
      <w:marLeft w:val="0"/>
      <w:marRight w:val="0"/>
      <w:marTop w:val="0"/>
      <w:marBottom w:val="0"/>
      <w:divBdr>
        <w:top w:val="none" w:sz="0" w:space="0" w:color="auto"/>
        <w:left w:val="none" w:sz="0" w:space="0" w:color="auto"/>
        <w:bottom w:val="none" w:sz="0" w:space="0" w:color="auto"/>
        <w:right w:val="none" w:sz="0" w:space="0" w:color="auto"/>
      </w:divBdr>
    </w:div>
    <w:div w:id="2099208327">
      <w:bodyDiv w:val="1"/>
      <w:marLeft w:val="0"/>
      <w:marRight w:val="0"/>
      <w:marTop w:val="0"/>
      <w:marBottom w:val="0"/>
      <w:divBdr>
        <w:top w:val="none" w:sz="0" w:space="0" w:color="auto"/>
        <w:left w:val="none" w:sz="0" w:space="0" w:color="auto"/>
        <w:bottom w:val="none" w:sz="0" w:space="0" w:color="auto"/>
        <w:right w:val="none" w:sz="0" w:space="0" w:color="auto"/>
      </w:divBdr>
    </w:div>
    <w:div w:id="2103254540">
      <w:bodyDiv w:val="1"/>
      <w:marLeft w:val="0"/>
      <w:marRight w:val="0"/>
      <w:marTop w:val="0"/>
      <w:marBottom w:val="0"/>
      <w:divBdr>
        <w:top w:val="none" w:sz="0" w:space="0" w:color="auto"/>
        <w:left w:val="none" w:sz="0" w:space="0" w:color="auto"/>
        <w:bottom w:val="none" w:sz="0" w:space="0" w:color="auto"/>
        <w:right w:val="none" w:sz="0" w:space="0" w:color="auto"/>
      </w:divBdr>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
    <w:div w:id="213313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acificwomen.org/our-impac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youtu.be/JCeG_6OmOuE?si=WgwOnXcFATJoiKG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yperlink" Target="mailto:info@pwles.org" TargetMode="External"/><Relationship Id="rId2" Type="http://schemas.openxmlformats.org/officeDocument/2006/relationships/customXml" Target="../customXml/item2.xml"/><Relationship Id="rId16" Type="http://schemas.openxmlformats.org/officeDocument/2006/relationships/hyperlink" Target="http://www.pacificwomen.org" TargetMode="External"/><Relationship Id="rId20" Type="http://schemas.openxmlformats.org/officeDocument/2006/relationships/hyperlink" Target="https://pacificwomen.org/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pacificwomen.org/latest-updates/sto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youtu.be/p5gbcZHlKdg?si=7LXyyJI6AQalYxBT"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PWL">
      <a:dk1>
        <a:sysClr val="windowText" lastClr="000000"/>
      </a:dk1>
      <a:lt1>
        <a:sysClr val="window" lastClr="FFFFFF"/>
      </a:lt1>
      <a:dk2>
        <a:srgbClr val="44546A"/>
      </a:dk2>
      <a:lt2>
        <a:srgbClr val="E7E6E6"/>
      </a:lt2>
      <a:accent1>
        <a:srgbClr val="231F20"/>
      </a:accent1>
      <a:accent2>
        <a:srgbClr val="004B64"/>
      </a:accent2>
      <a:accent3>
        <a:srgbClr val="62C8CF"/>
      </a:accent3>
      <a:accent4>
        <a:srgbClr val="0798BB"/>
      </a:accent4>
      <a:accent5>
        <a:srgbClr val="BFAF8C"/>
      </a:accent5>
      <a:accent6>
        <a:srgbClr val="00206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accent4"/>
        </a:solidFill>
        <a:ln w="6350">
          <a:noFill/>
        </a:ln>
      </a:spPr>
      <a:bodyPr rot="0" spcFirstLastPara="0" vertOverflow="overflow" horzOverflow="overflow" vert="horz" wrap="square" lIns="108000" tIns="108000" rIns="108000" bIns="108000" numCol="1" spcCol="0" rtlCol="0" fromWordArt="0" anchor="t" anchorCtr="0" forceAA="0"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404e92-fc62-4a0f-bd0c-9416f64e1809">
      <Terms xmlns="http://schemas.microsoft.com/office/infopath/2007/PartnerControls"/>
    </lcf76f155ced4ddcb4097134ff3c332f>
    <TaxCatchAll xmlns="e3ac4ce4-dd58-4ff0-93be-5837486f1497"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A6C110B9E90F14AB544ACB769607EC2" ma:contentTypeVersion="18" ma:contentTypeDescription="Create a new document." ma:contentTypeScope="" ma:versionID="adacfb03ac53a67afef8d7283454db1c">
  <xsd:schema xmlns:xsd="http://www.w3.org/2001/XMLSchema" xmlns:xs="http://www.w3.org/2001/XMLSchema" xmlns:p="http://schemas.microsoft.com/office/2006/metadata/properties" xmlns:ns2="e0404e92-fc62-4a0f-bd0c-9416f64e1809" xmlns:ns3="e3ac4ce4-dd58-4ff0-93be-5837486f1497" targetNamespace="http://schemas.microsoft.com/office/2006/metadata/properties" ma:root="true" ma:fieldsID="d747a7263a8d0055184081f85d306f30" ns2:_="" ns3:_="">
    <xsd:import namespace="e0404e92-fc62-4a0f-bd0c-9416f64e1809"/>
    <xsd:import namespace="e3ac4ce4-dd58-4ff0-93be-5837486f1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04e92-fc62-4a0f-bd0c-9416f64e1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6d6170-9e66-4ec9-83aa-2c8e0e9ac0a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c4ce4-dd58-4ff0-93be-5837486f14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054c9a-683f-4057-8918-6e28e617cb9c}" ma:internalName="TaxCatchAll" ma:showField="CatchAllData" ma:web="e3ac4ce4-dd58-4ff0-93be-5837486f1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49829-0722-4FE7-906A-6F041ACEA480}">
  <ds:schemaRefs>
    <ds:schemaRef ds:uri="http://schemas.microsoft.com/sharepoint/v3/contenttype/forms"/>
  </ds:schemaRefs>
</ds:datastoreItem>
</file>

<file path=customXml/itemProps2.xml><?xml version="1.0" encoding="utf-8"?>
<ds:datastoreItem xmlns:ds="http://schemas.openxmlformats.org/officeDocument/2006/customXml" ds:itemID="{D2F99EB2-9545-42E3-9F88-66AD8F6215AB}">
  <ds:schemaRefs>
    <ds:schemaRef ds:uri="http://schemas.microsoft.com/office/2006/metadata/properties"/>
    <ds:schemaRef ds:uri="http://schemas.microsoft.com/office/infopath/2007/PartnerControls"/>
    <ds:schemaRef ds:uri="e0404e92-fc62-4a0f-bd0c-9416f64e1809"/>
    <ds:schemaRef ds:uri="e3ac4ce4-dd58-4ff0-93be-5837486f1497"/>
  </ds:schemaRefs>
</ds:datastoreItem>
</file>

<file path=customXml/itemProps3.xml><?xml version="1.0" encoding="utf-8"?>
<ds:datastoreItem xmlns:ds="http://schemas.openxmlformats.org/officeDocument/2006/customXml" ds:itemID="{38A34EF7-F63F-4AB1-A28A-5F67750FA1CA}">
  <ds:schemaRefs>
    <ds:schemaRef ds:uri="http://schemas.openxmlformats.org/officeDocument/2006/bibliography"/>
  </ds:schemaRefs>
</ds:datastoreItem>
</file>

<file path=customXml/itemProps4.xml><?xml version="1.0" encoding="utf-8"?>
<ds:datastoreItem xmlns:ds="http://schemas.openxmlformats.org/officeDocument/2006/customXml" ds:itemID="{2FDDC306-B826-423C-BE93-1D7B92B06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04e92-fc62-4a0f-bd0c-9416f64e1809"/>
    <ds:schemaRef ds:uri="e3ac4ce4-dd58-4ff0-93be-5837486f1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6487</Words>
  <Characters>36978</Characters>
  <Application>Microsoft Office Word</Application>
  <DocSecurity>0</DocSecurity>
  <Lines>308</Lines>
  <Paragraphs>86</Paragraphs>
  <ScaleCrop>false</ScaleCrop>
  <Company/>
  <LinksUpToDate>false</LinksUpToDate>
  <CharactersWithSpaces>43379</CharactersWithSpaces>
  <SharedDoc>false</SharedDoc>
  <HLinks>
    <vt:vector size="150" baseType="variant">
      <vt:variant>
        <vt:i4>6488139</vt:i4>
      </vt:variant>
      <vt:variant>
        <vt:i4>138</vt:i4>
      </vt:variant>
      <vt:variant>
        <vt:i4>0</vt:i4>
      </vt:variant>
      <vt:variant>
        <vt:i4>5</vt:i4>
      </vt:variant>
      <vt:variant>
        <vt:lpwstr>mailto:info@pwles.org</vt:lpwstr>
      </vt:variant>
      <vt:variant>
        <vt:lpwstr/>
      </vt:variant>
      <vt:variant>
        <vt:i4>4653123</vt:i4>
      </vt:variant>
      <vt:variant>
        <vt:i4>135</vt:i4>
      </vt:variant>
      <vt:variant>
        <vt:i4>0</vt:i4>
      </vt:variant>
      <vt:variant>
        <vt:i4>5</vt:i4>
      </vt:variant>
      <vt:variant>
        <vt:lpwstr>https://youtu.be/p5gbcZHlKdg?si=7LXyyJI6AQalYxBT</vt:lpwstr>
      </vt:variant>
      <vt:variant>
        <vt:lpwstr/>
      </vt:variant>
      <vt:variant>
        <vt:i4>7012352</vt:i4>
      </vt:variant>
      <vt:variant>
        <vt:i4>132</vt:i4>
      </vt:variant>
      <vt:variant>
        <vt:i4>0</vt:i4>
      </vt:variant>
      <vt:variant>
        <vt:i4>5</vt:i4>
      </vt:variant>
      <vt:variant>
        <vt:lpwstr>https://youtu.be/JCeG_6OmOuE?si=WgwOnXcFATJoiKG7</vt:lpwstr>
      </vt:variant>
      <vt:variant>
        <vt:lpwstr/>
      </vt:variant>
      <vt:variant>
        <vt:i4>6815794</vt:i4>
      </vt:variant>
      <vt:variant>
        <vt:i4>129</vt:i4>
      </vt:variant>
      <vt:variant>
        <vt:i4>0</vt:i4>
      </vt:variant>
      <vt:variant>
        <vt:i4>5</vt:i4>
      </vt:variant>
      <vt:variant>
        <vt:lpwstr>https://pacificwomen.org/resources/</vt:lpwstr>
      </vt:variant>
      <vt:variant>
        <vt:lpwstr/>
      </vt:variant>
      <vt:variant>
        <vt:i4>6094927</vt:i4>
      </vt:variant>
      <vt:variant>
        <vt:i4>126</vt:i4>
      </vt:variant>
      <vt:variant>
        <vt:i4>0</vt:i4>
      </vt:variant>
      <vt:variant>
        <vt:i4>5</vt:i4>
      </vt:variant>
      <vt:variant>
        <vt:lpwstr>https://pacificwomen.org/latest-updates/stories/</vt:lpwstr>
      </vt:variant>
      <vt:variant>
        <vt:lpwstr/>
      </vt:variant>
      <vt:variant>
        <vt:i4>4456463</vt:i4>
      </vt:variant>
      <vt:variant>
        <vt:i4>123</vt:i4>
      </vt:variant>
      <vt:variant>
        <vt:i4>0</vt:i4>
      </vt:variant>
      <vt:variant>
        <vt:i4>5</vt:i4>
      </vt:variant>
      <vt:variant>
        <vt:lpwstr>https://pacificwomen.org/our-impact/</vt:lpwstr>
      </vt:variant>
      <vt:variant>
        <vt:lpwstr/>
      </vt:variant>
      <vt:variant>
        <vt:i4>4456525</vt:i4>
      </vt:variant>
      <vt:variant>
        <vt:i4>111</vt:i4>
      </vt:variant>
      <vt:variant>
        <vt:i4>0</vt:i4>
      </vt:variant>
      <vt:variant>
        <vt:i4>5</vt:i4>
      </vt:variant>
      <vt:variant>
        <vt:lpwstr>http://www.pacificwomen.org/</vt:lpwstr>
      </vt:variant>
      <vt:variant>
        <vt:lpwstr/>
      </vt:variant>
      <vt:variant>
        <vt:i4>1114162</vt:i4>
      </vt:variant>
      <vt:variant>
        <vt:i4>104</vt:i4>
      </vt:variant>
      <vt:variant>
        <vt:i4>0</vt:i4>
      </vt:variant>
      <vt:variant>
        <vt:i4>5</vt:i4>
      </vt:variant>
      <vt:variant>
        <vt:lpwstr/>
      </vt:variant>
      <vt:variant>
        <vt:lpwstr>_Toc208395104</vt:lpwstr>
      </vt:variant>
      <vt:variant>
        <vt:i4>1114162</vt:i4>
      </vt:variant>
      <vt:variant>
        <vt:i4>98</vt:i4>
      </vt:variant>
      <vt:variant>
        <vt:i4>0</vt:i4>
      </vt:variant>
      <vt:variant>
        <vt:i4>5</vt:i4>
      </vt:variant>
      <vt:variant>
        <vt:lpwstr/>
      </vt:variant>
      <vt:variant>
        <vt:lpwstr>_Toc208395103</vt:lpwstr>
      </vt:variant>
      <vt:variant>
        <vt:i4>1114162</vt:i4>
      </vt:variant>
      <vt:variant>
        <vt:i4>92</vt:i4>
      </vt:variant>
      <vt:variant>
        <vt:i4>0</vt:i4>
      </vt:variant>
      <vt:variant>
        <vt:i4>5</vt:i4>
      </vt:variant>
      <vt:variant>
        <vt:lpwstr/>
      </vt:variant>
      <vt:variant>
        <vt:lpwstr>_Toc208395102</vt:lpwstr>
      </vt:variant>
      <vt:variant>
        <vt:i4>1114162</vt:i4>
      </vt:variant>
      <vt:variant>
        <vt:i4>86</vt:i4>
      </vt:variant>
      <vt:variant>
        <vt:i4>0</vt:i4>
      </vt:variant>
      <vt:variant>
        <vt:i4>5</vt:i4>
      </vt:variant>
      <vt:variant>
        <vt:lpwstr/>
      </vt:variant>
      <vt:variant>
        <vt:lpwstr>_Toc208395101</vt:lpwstr>
      </vt:variant>
      <vt:variant>
        <vt:i4>1114162</vt:i4>
      </vt:variant>
      <vt:variant>
        <vt:i4>80</vt:i4>
      </vt:variant>
      <vt:variant>
        <vt:i4>0</vt:i4>
      </vt:variant>
      <vt:variant>
        <vt:i4>5</vt:i4>
      </vt:variant>
      <vt:variant>
        <vt:lpwstr/>
      </vt:variant>
      <vt:variant>
        <vt:lpwstr>_Toc208395100</vt:lpwstr>
      </vt:variant>
      <vt:variant>
        <vt:i4>1572915</vt:i4>
      </vt:variant>
      <vt:variant>
        <vt:i4>74</vt:i4>
      </vt:variant>
      <vt:variant>
        <vt:i4>0</vt:i4>
      </vt:variant>
      <vt:variant>
        <vt:i4>5</vt:i4>
      </vt:variant>
      <vt:variant>
        <vt:lpwstr/>
      </vt:variant>
      <vt:variant>
        <vt:lpwstr>_Toc208395099</vt:lpwstr>
      </vt:variant>
      <vt:variant>
        <vt:i4>1572915</vt:i4>
      </vt:variant>
      <vt:variant>
        <vt:i4>68</vt:i4>
      </vt:variant>
      <vt:variant>
        <vt:i4>0</vt:i4>
      </vt:variant>
      <vt:variant>
        <vt:i4>5</vt:i4>
      </vt:variant>
      <vt:variant>
        <vt:lpwstr/>
      </vt:variant>
      <vt:variant>
        <vt:lpwstr>_Toc208395098</vt:lpwstr>
      </vt:variant>
      <vt:variant>
        <vt:i4>1572915</vt:i4>
      </vt:variant>
      <vt:variant>
        <vt:i4>62</vt:i4>
      </vt:variant>
      <vt:variant>
        <vt:i4>0</vt:i4>
      </vt:variant>
      <vt:variant>
        <vt:i4>5</vt:i4>
      </vt:variant>
      <vt:variant>
        <vt:lpwstr/>
      </vt:variant>
      <vt:variant>
        <vt:lpwstr>_Toc208395097</vt:lpwstr>
      </vt:variant>
      <vt:variant>
        <vt:i4>1572915</vt:i4>
      </vt:variant>
      <vt:variant>
        <vt:i4>56</vt:i4>
      </vt:variant>
      <vt:variant>
        <vt:i4>0</vt:i4>
      </vt:variant>
      <vt:variant>
        <vt:i4>5</vt:i4>
      </vt:variant>
      <vt:variant>
        <vt:lpwstr/>
      </vt:variant>
      <vt:variant>
        <vt:lpwstr>_Toc208395096</vt:lpwstr>
      </vt:variant>
      <vt:variant>
        <vt:i4>1572915</vt:i4>
      </vt:variant>
      <vt:variant>
        <vt:i4>50</vt:i4>
      </vt:variant>
      <vt:variant>
        <vt:i4>0</vt:i4>
      </vt:variant>
      <vt:variant>
        <vt:i4>5</vt:i4>
      </vt:variant>
      <vt:variant>
        <vt:lpwstr/>
      </vt:variant>
      <vt:variant>
        <vt:lpwstr>_Toc208395095</vt:lpwstr>
      </vt:variant>
      <vt:variant>
        <vt:i4>1572915</vt:i4>
      </vt:variant>
      <vt:variant>
        <vt:i4>44</vt:i4>
      </vt:variant>
      <vt:variant>
        <vt:i4>0</vt:i4>
      </vt:variant>
      <vt:variant>
        <vt:i4>5</vt:i4>
      </vt:variant>
      <vt:variant>
        <vt:lpwstr/>
      </vt:variant>
      <vt:variant>
        <vt:lpwstr>_Toc208395094</vt:lpwstr>
      </vt:variant>
      <vt:variant>
        <vt:i4>1572915</vt:i4>
      </vt:variant>
      <vt:variant>
        <vt:i4>38</vt:i4>
      </vt:variant>
      <vt:variant>
        <vt:i4>0</vt:i4>
      </vt:variant>
      <vt:variant>
        <vt:i4>5</vt:i4>
      </vt:variant>
      <vt:variant>
        <vt:lpwstr/>
      </vt:variant>
      <vt:variant>
        <vt:lpwstr>_Toc208395093</vt:lpwstr>
      </vt:variant>
      <vt:variant>
        <vt:i4>1572915</vt:i4>
      </vt:variant>
      <vt:variant>
        <vt:i4>32</vt:i4>
      </vt:variant>
      <vt:variant>
        <vt:i4>0</vt:i4>
      </vt:variant>
      <vt:variant>
        <vt:i4>5</vt:i4>
      </vt:variant>
      <vt:variant>
        <vt:lpwstr/>
      </vt:variant>
      <vt:variant>
        <vt:lpwstr>_Toc208395092</vt:lpwstr>
      </vt:variant>
      <vt:variant>
        <vt:i4>1572915</vt:i4>
      </vt:variant>
      <vt:variant>
        <vt:i4>26</vt:i4>
      </vt:variant>
      <vt:variant>
        <vt:i4>0</vt:i4>
      </vt:variant>
      <vt:variant>
        <vt:i4>5</vt:i4>
      </vt:variant>
      <vt:variant>
        <vt:lpwstr/>
      </vt:variant>
      <vt:variant>
        <vt:lpwstr>_Toc208395091</vt:lpwstr>
      </vt:variant>
      <vt:variant>
        <vt:i4>1572915</vt:i4>
      </vt:variant>
      <vt:variant>
        <vt:i4>20</vt:i4>
      </vt:variant>
      <vt:variant>
        <vt:i4>0</vt:i4>
      </vt:variant>
      <vt:variant>
        <vt:i4>5</vt:i4>
      </vt:variant>
      <vt:variant>
        <vt:lpwstr/>
      </vt:variant>
      <vt:variant>
        <vt:lpwstr>_Toc208395090</vt:lpwstr>
      </vt:variant>
      <vt:variant>
        <vt:i4>1638451</vt:i4>
      </vt:variant>
      <vt:variant>
        <vt:i4>14</vt:i4>
      </vt:variant>
      <vt:variant>
        <vt:i4>0</vt:i4>
      </vt:variant>
      <vt:variant>
        <vt:i4>5</vt:i4>
      </vt:variant>
      <vt:variant>
        <vt:lpwstr/>
      </vt:variant>
      <vt:variant>
        <vt:lpwstr>_Toc208395089</vt:lpwstr>
      </vt:variant>
      <vt:variant>
        <vt:i4>1638451</vt:i4>
      </vt:variant>
      <vt:variant>
        <vt:i4>8</vt:i4>
      </vt:variant>
      <vt:variant>
        <vt:i4>0</vt:i4>
      </vt:variant>
      <vt:variant>
        <vt:i4>5</vt:i4>
      </vt:variant>
      <vt:variant>
        <vt:lpwstr/>
      </vt:variant>
      <vt:variant>
        <vt:lpwstr>_Toc208395088</vt:lpwstr>
      </vt:variant>
      <vt:variant>
        <vt:i4>1638451</vt:i4>
      </vt:variant>
      <vt:variant>
        <vt:i4>2</vt:i4>
      </vt:variant>
      <vt:variant>
        <vt:i4>0</vt:i4>
      </vt:variant>
      <vt:variant>
        <vt:i4>5</vt:i4>
      </vt:variant>
      <vt:variant>
        <vt:lpwstr/>
      </vt:variant>
      <vt:variant>
        <vt:lpwstr>_Toc208395087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Junita Ngai</dc:creator>
  <cp:keywords/>
  <cp:lastModifiedBy>Amber Carvan</cp:lastModifiedBy>
  <cp:revision>4</cp:revision>
  <cp:lastPrinted>2025-09-13T14:59:00Z</cp:lastPrinted>
  <dcterms:created xsi:type="dcterms:W3CDTF">2025-09-15T21:07:00Z</dcterms:created>
  <dcterms:modified xsi:type="dcterms:W3CDTF">2025-09-15T22:12:00Z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0x0101005A6C110B9E90F14AB544ACB769607EC2</vt:lpwstr>
  </property>
  <property fmtid="{D5CDD505-2E9C-101B-9397-08002B2CF9AE}" pid="3" name="MediaServiceImageTags">
    <vt:lpwstr/>
  </property>
</Properties>
</file>